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DA1" w:rsidRPr="005F53EE" w:rsidRDefault="003E2DA1" w:rsidP="003E2DA1">
      <w:pPr>
        <w:spacing w:after="0" w:line="360" w:lineRule="auto"/>
        <w:jc w:val="both"/>
        <w:rPr>
          <w:rFonts w:ascii="Palatino Linotype" w:hAnsi="Palatino Linotype"/>
          <w:b/>
          <w:sz w:val="24"/>
          <w:szCs w:val="24"/>
        </w:rPr>
      </w:pPr>
      <w:r w:rsidRPr="005F53EE">
        <w:rPr>
          <w:rFonts w:ascii="Palatino Linotype" w:hAnsi="Palatino Linotype"/>
          <w:b/>
          <w:sz w:val="24"/>
          <w:szCs w:val="24"/>
        </w:rPr>
        <w:t xml:space="preserve">VOTO PARTICULAR QUE FORMULA </w:t>
      </w:r>
      <w:r w:rsidR="009D6C87" w:rsidRPr="005F53EE">
        <w:rPr>
          <w:rFonts w:ascii="Palatino Linotype" w:hAnsi="Palatino Linotype"/>
          <w:b/>
          <w:sz w:val="24"/>
          <w:szCs w:val="24"/>
        </w:rPr>
        <w:t>E</w:t>
      </w:r>
      <w:r w:rsidRPr="005F53EE">
        <w:rPr>
          <w:rFonts w:ascii="Palatino Linotype" w:hAnsi="Palatino Linotype"/>
          <w:b/>
          <w:sz w:val="24"/>
          <w:szCs w:val="24"/>
        </w:rPr>
        <w:t xml:space="preserve">L COMISIONADO JAVIER MARTÍNEZ CRUZ, EN RELACIÓN CON LA RESOLUCIÓN DICTADA POR EL PLENO DEL INSTITUTO DE TRANSPARENCIA, ACCESO A LA INFORMACIÓN PÚBLICA Y PROTECCIÓN DE DATOS PERSONALES DEL ESTADO DE MÉXICO Y MUNICIPIOS, EN LA </w:t>
      </w:r>
      <w:r w:rsidR="00C9510C" w:rsidRPr="005F53EE">
        <w:rPr>
          <w:rFonts w:ascii="Palatino Linotype" w:hAnsi="Palatino Linotype"/>
          <w:b/>
          <w:sz w:val="24"/>
          <w:szCs w:val="24"/>
        </w:rPr>
        <w:t>DÉCIMO QUINTA</w:t>
      </w:r>
      <w:r w:rsidRPr="005F53EE">
        <w:rPr>
          <w:rFonts w:ascii="Palatino Linotype" w:hAnsi="Palatino Linotype"/>
          <w:b/>
          <w:sz w:val="24"/>
          <w:szCs w:val="24"/>
        </w:rPr>
        <w:t xml:space="preserve"> ORDINARIA DEL </w:t>
      </w:r>
      <w:r w:rsidR="00C9510C" w:rsidRPr="005F53EE">
        <w:rPr>
          <w:rFonts w:ascii="Palatino Linotype" w:hAnsi="Palatino Linotype"/>
          <w:b/>
          <w:sz w:val="24"/>
          <w:szCs w:val="24"/>
        </w:rPr>
        <w:t xml:space="preserve">VEINTICUATRO DE ABRIL </w:t>
      </w:r>
      <w:r w:rsidRPr="005F53EE">
        <w:rPr>
          <w:rFonts w:ascii="Palatino Linotype" w:hAnsi="Palatino Linotype"/>
          <w:b/>
          <w:sz w:val="24"/>
          <w:szCs w:val="24"/>
        </w:rPr>
        <w:t>DE DOS MIL DIECI</w:t>
      </w:r>
      <w:r w:rsidR="009D6C87" w:rsidRPr="005F53EE">
        <w:rPr>
          <w:rFonts w:ascii="Palatino Linotype" w:hAnsi="Palatino Linotype"/>
          <w:b/>
          <w:sz w:val="24"/>
          <w:szCs w:val="24"/>
        </w:rPr>
        <w:t>NUEVE, EN EL RECURSO DE REVISIÓN 0</w:t>
      </w:r>
      <w:r w:rsidR="00C9510C" w:rsidRPr="005F53EE">
        <w:rPr>
          <w:rFonts w:ascii="Palatino Linotype" w:hAnsi="Palatino Linotype"/>
          <w:b/>
          <w:sz w:val="24"/>
          <w:szCs w:val="24"/>
        </w:rPr>
        <w:t>0</w:t>
      </w:r>
      <w:r w:rsidR="001A6505" w:rsidRPr="005F53EE">
        <w:rPr>
          <w:rFonts w:ascii="Palatino Linotype" w:hAnsi="Palatino Linotype"/>
          <w:b/>
          <w:sz w:val="24"/>
          <w:szCs w:val="24"/>
        </w:rPr>
        <w:t>792</w:t>
      </w:r>
      <w:r w:rsidR="00C9510C" w:rsidRPr="005F53EE">
        <w:rPr>
          <w:rFonts w:ascii="Palatino Linotype" w:hAnsi="Palatino Linotype"/>
          <w:b/>
          <w:sz w:val="24"/>
          <w:szCs w:val="24"/>
        </w:rPr>
        <w:t>/INFOEM/IP/RR/2019</w:t>
      </w:r>
      <w:r w:rsidRPr="005F53EE">
        <w:rPr>
          <w:rFonts w:ascii="Palatino Linotype" w:hAnsi="Palatino Linotype"/>
          <w:b/>
          <w:sz w:val="24"/>
          <w:szCs w:val="24"/>
        </w:rPr>
        <w:t>.</w:t>
      </w:r>
    </w:p>
    <w:p w:rsidR="003E2DA1" w:rsidRPr="005F53EE" w:rsidRDefault="003E2DA1" w:rsidP="00A229D2">
      <w:pPr>
        <w:spacing w:before="240" w:after="240" w:line="360" w:lineRule="auto"/>
        <w:jc w:val="both"/>
        <w:rPr>
          <w:rFonts w:ascii="Palatino Linotype" w:hAnsi="Palatino Linotype"/>
          <w:sz w:val="24"/>
          <w:szCs w:val="24"/>
        </w:rPr>
      </w:pPr>
      <w:r w:rsidRPr="005F53EE">
        <w:rPr>
          <w:rFonts w:ascii="Palatino Linotype" w:hAnsi="Palatino Linotype"/>
          <w:sz w:val="24"/>
          <w:szCs w:val="24"/>
        </w:rPr>
        <w:t xml:space="preserve">Con fundamento en lo dispuesto por el artículo 14 fracción XI del Reglamento Interior del Instituto de Transparencia, Acceso a la Información Pública y Protección de Datos Personales del Estado de México y Municipios, </w:t>
      </w:r>
      <w:r w:rsidR="009D6C87" w:rsidRPr="005F53EE">
        <w:rPr>
          <w:rFonts w:ascii="Palatino Linotype" w:hAnsi="Palatino Linotype"/>
          <w:sz w:val="24"/>
          <w:szCs w:val="24"/>
        </w:rPr>
        <w:t>e</w:t>
      </w:r>
      <w:r w:rsidRPr="005F53EE">
        <w:rPr>
          <w:rFonts w:ascii="Palatino Linotype" w:hAnsi="Palatino Linotype"/>
          <w:sz w:val="24"/>
          <w:szCs w:val="24"/>
        </w:rPr>
        <w:t xml:space="preserve">l Comisionado Javier Martínez Cruz emite </w:t>
      </w:r>
      <w:r w:rsidRPr="005F53EE">
        <w:rPr>
          <w:rFonts w:ascii="Palatino Linotype" w:hAnsi="Palatino Linotype"/>
          <w:b/>
          <w:sz w:val="24"/>
          <w:szCs w:val="24"/>
        </w:rPr>
        <w:t xml:space="preserve">VOTO PARTICULAR </w:t>
      </w:r>
      <w:r w:rsidRPr="005F53EE">
        <w:rPr>
          <w:rFonts w:ascii="Palatino Linotype" w:hAnsi="Palatino Linotype"/>
          <w:sz w:val="24"/>
          <w:szCs w:val="24"/>
        </w:rPr>
        <w:t>respecto a la resolución dictada en el recurso de revisión número 0</w:t>
      </w:r>
      <w:r w:rsidR="001A6505" w:rsidRPr="005F53EE">
        <w:rPr>
          <w:rFonts w:ascii="Palatino Linotype" w:hAnsi="Palatino Linotype"/>
          <w:sz w:val="24"/>
          <w:szCs w:val="24"/>
        </w:rPr>
        <w:t>0792</w:t>
      </w:r>
      <w:r w:rsidR="00C9510C" w:rsidRPr="005F53EE">
        <w:rPr>
          <w:rFonts w:ascii="Palatino Linotype" w:hAnsi="Palatino Linotype"/>
          <w:sz w:val="24"/>
          <w:szCs w:val="24"/>
        </w:rPr>
        <w:t>/INFOEM/IP/RR/2019</w:t>
      </w:r>
      <w:r w:rsidRPr="005F53EE">
        <w:rPr>
          <w:rFonts w:ascii="Palatino Linotype" w:hAnsi="Palatino Linotype"/>
          <w:sz w:val="24"/>
          <w:szCs w:val="24"/>
        </w:rPr>
        <w:t xml:space="preserve">, pronunciada por el Pleno de este Instituto ante el proyecto presentado por </w:t>
      </w:r>
      <w:r w:rsidR="001A6505" w:rsidRPr="005F53EE">
        <w:rPr>
          <w:rFonts w:ascii="Palatino Linotype" w:hAnsi="Palatino Linotype"/>
          <w:sz w:val="24"/>
          <w:szCs w:val="24"/>
        </w:rPr>
        <w:t>la Comisionada Eva Abaid Yapur</w:t>
      </w:r>
      <w:r w:rsidRPr="005F53EE">
        <w:rPr>
          <w:rFonts w:ascii="Palatino Linotype" w:hAnsi="Palatino Linotype"/>
          <w:sz w:val="24"/>
          <w:szCs w:val="24"/>
        </w:rPr>
        <w:t xml:space="preserve">. </w:t>
      </w:r>
    </w:p>
    <w:p w:rsidR="003E2DA1" w:rsidRPr="005F53EE" w:rsidRDefault="00B4736F" w:rsidP="003E2DA1">
      <w:pPr>
        <w:spacing w:before="240" w:after="240" w:line="360" w:lineRule="auto"/>
        <w:jc w:val="both"/>
        <w:rPr>
          <w:rFonts w:ascii="Palatino Linotype" w:hAnsi="Palatino Linotype"/>
          <w:sz w:val="24"/>
          <w:szCs w:val="24"/>
        </w:rPr>
      </w:pPr>
      <w:r w:rsidRPr="005F53EE">
        <w:rPr>
          <w:rFonts w:ascii="Palatino Linotype" w:hAnsi="Palatino Linotype"/>
          <w:sz w:val="24"/>
          <w:szCs w:val="24"/>
        </w:rPr>
        <w:t>L</w:t>
      </w:r>
      <w:r w:rsidR="003E2DA1" w:rsidRPr="005F53EE">
        <w:rPr>
          <w:rFonts w:ascii="Palatino Linotype" w:hAnsi="Palatino Linotype"/>
          <w:sz w:val="24"/>
          <w:szCs w:val="24"/>
        </w:rPr>
        <w:t>a materia en que radicó el recurso de revisión</w:t>
      </w:r>
      <w:r w:rsidRPr="005F53EE">
        <w:rPr>
          <w:rFonts w:ascii="Palatino Linotype" w:hAnsi="Palatino Linotype"/>
          <w:sz w:val="24"/>
          <w:szCs w:val="24"/>
        </w:rPr>
        <w:t xml:space="preserve"> que nos ocupa</w:t>
      </w:r>
      <w:r w:rsidR="003E2DA1" w:rsidRPr="005F53EE">
        <w:rPr>
          <w:rFonts w:ascii="Palatino Linotype" w:hAnsi="Palatino Linotype"/>
          <w:sz w:val="24"/>
          <w:szCs w:val="24"/>
        </w:rPr>
        <w:t xml:space="preserve">, lo fue en que se proporcionara por parte del </w:t>
      </w:r>
      <w:r w:rsidR="003E2DA1" w:rsidRPr="005F53EE">
        <w:rPr>
          <w:rFonts w:ascii="Palatino Linotype" w:hAnsi="Palatino Linotype"/>
          <w:b/>
          <w:sz w:val="24"/>
          <w:szCs w:val="24"/>
        </w:rPr>
        <w:t xml:space="preserve">Ayuntamiento de </w:t>
      </w:r>
      <w:r w:rsidR="001A6505" w:rsidRPr="005F53EE">
        <w:rPr>
          <w:rFonts w:ascii="Palatino Linotype" w:hAnsi="Palatino Linotype"/>
          <w:b/>
          <w:sz w:val="24"/>
          <w:szCs w:val="24"/>
        </w:rPr>
        <w:t xml:space="preserve">Acambay de Ruiz Castañeda </w:t>
      </w:r>
      <w:r w:rsidR="003E2DA1" w:rsidRPr="005F53EE">
        <w:rPr>
          <w:rFonts w:ascii="Palatino Linotype" w:hAnsi="Palatino Linotype"/>
          <w:b/>
          <w:sz w:val="24"/>
          <w:szCs w:val="24"/>
        </w:rPr>
        <w:t xml:space="preserve"> </w:t>
      </w:r>
      <w:r w:rsidR="00C9510C" w:rsidRPr="005F53EE">
        <w:rPr>
          <w:rFonts w:ascii="Palatino Linotype" w:hAnsi="Palatino Linotype"/>
          <w:sz w:val="24"/>
          <w:szCs w:val="24"/>
        </w:rPr>
        <w:t>la información consistente en lo</w:t>
      </w:r>
      <w:r w:rsidR="003E2DA1" w:rsidRPr="005F53EE">
        <w:rPr>
          <w:rFonts w:ascii="Palatino Linotype" w:hAnsi="Palatino Linotype"/>
          <w:sz w:val="24"/>
          <w:szCs w:val="24"/>
        </w:rPr>
        <w:t xml:space="preserve"> siguiente:</w:t>
      </w:r>
    </w:p>
    <w:p w:rsidR="009D6C87" w:rsidRPr="005F53EE" w:rsidRDefault="001A6505" w:rsidP="00203316">
      <w:pPr>
        <w:spacing w:line="240" w:lineRule="auto"/>
        <w:ind w:left="851" w:right="990"/>
        <w:jc w:val="both"/>
        <w:rPr>
          <w:rFonts w:ascii="Palatino Linotype" w:eastAsia="Times New Roman" w:hAnsi="Palatino Linotype" w:cs="Times New Roman"/>
          <w:i/>
          <w:lang w:eastAsia="es-MX"/>
        </w:rPr>
      </w:pPr>
      <w:r w:rsidRPr="005F53EE">
        <w:rPr>
          <w:rFonts w:ascii="Palatino Linotype" w:hAnsi="Palatino Linotype"/>
          <w:i/>
        </w:rPr>
        <w:t xml:space="preserve">“Nombres y grado máximo de estudios de cada uno de las integrantes del cabildo del ayuntamiento de Acambay 2019-2021, nombre y grado máximo de estudios de directores, coordinadores, secretario del ayuntamiento, nómina del ayuntamiento 2019-2021 desglosado por sueldo base y gratificaciones de cada uno de los trabajadores del ayuntamiento 2019-2021 de Acambay, nombre y cargo de los trabajadores así como su cargo y escolaridad que se han contratado a </w:t>
      </w:r>
      <w:r w:rsidRPr="005F53EE">
        <w:rPr>
          <w:rFonts w:ascii="Palatino Linotype" w:hAnsi="Palatino Linotype"/>
          <w:i/>
        </w:rPr>
        <w:lastRenderedPageBreak/>
        <w:t>partir del 1 de enero de 2019 en el ayuntamiento de Acambay, declaración 3 de 3 de la presidenta municipal de Acambay así como la de los integrantes del cabildo y del DIFmunicipal de acambay, obras públicas en ejecución a partir del 1 de enero de 2019 del ayuntamiento de Acambay, cuealnoes el monto de la deuda pública del municipio de Acambay.”</w:t>
      </w:r>
      <w:r w:rsidR="00C9510C" w:rsidRPr="005F53EE">
        <w:rPr>
          <w:rFonts w:ascii="Palatino Linotype" w:hAnsi="Palatino Linotype"/>
          <w:i/>
        </w:rPr>
        <w:t xml:space="preserve"> </w:t>
      </w:r>
      <w:r w:rsidR="009D6C87" w:rsidRPr="005F53EE">
        <w:rPr>
          <w:rFonts w:ascii="Palatino Linotype" w:hAnsi="Palatino Linotype"/>
          <w:i/>
        </w:rPr>
        <w:t>(Sic)</w:t>
      </w:r>
    </w:p>
    <w:p w:rsidR="003E2DA1" w:rsidRPr="005F53EE" w:rsidRDefault="009D6C87" w:rsidP="003E2DA1">
      <w:pPr>
        <w:spacing w:after="0" w:line="360" w:lineRule="auto"/>
        <w:jc w:val="both"/>
        <w:rPr>
          <w:rFonts w:ascii="Palatino Linotype" w:hAnsi="Palatino Linotype"/>
          <w:sz w:val="24"/>
          <w:szCs w:val="24"/>
        </w:rPr>
      </w:pPr>
      <w:r w:rsidRPr="005F53EE">
        <w:rPr>
          <w:rFonts w:ascii="Palatino Linotype" w:hAnsi="Palatino Linotype"/>
          <w:sz w:val="24"/>
          <w:szCs w:val="24"/>
        </w:rPr>
        <w:t xml:space="preserve">Así, </w:t>
      </w:r>
      <w:r w:rsidR="003E2DA1" w:rsidRPr="005F53EE">
        <w:rPr>
          <w:rFonts w:ascii="Palatino Linotype" w:hAnsi="Palatino Linotype"/>
          <w:sz w:val="24"/>
          <w:szCs w:val="24"/>
        </w:rPr>
        <w:t xml:space="preserve">debe precisarse que una vez que fue substanciado el recurso de revisión al rubro indicado, en </w:t>
      </w:r>
      <w:r w:rsidRPr="005F53EE">
        <w:rPr>
          <w:rFonts w:ascii="Palatino Linotype" w:hAnsi="Palatino Linotype"/>
          <w:sz w:val="24"/>
          <w:szCs w:val="24"/>
        </w:rPr>
        <w:t>e</w:t>
      </w:r>
      <w:r w:rsidR="003E2DA1" w:rsidRPr="005F53EE">
        <w:rPr>
          <w:rFonts w:ascii="Palatino Linotype" w:hAnsi="Palatino Linotype"/>
          <w:sz w:val="24"/>
          <w:szCs w:val="24"/>
        </w:rPr>
        <w:t xml:space="preserve">l resolutivo </w:t>
      </w:r>
      <w:r w:rsidR="003E2DA1" w:rsidRPr="005F53EE">
        <w:rPr>
          <w:rFonts w:ascii="Palatino Linotype" w:hAnsi="Palatino Linotype"/>
          <w:b/>
          <w:sz w:val="24"/>
          <w:szCs w:val="24"/>
        </w:rPr>
        <w:t>SEGUNDO</w:t>
      </w:r>
      <w:r w:rsidR="003E2DA1" w:rsidRPr="005F53EE">
        <w:rPr>
          <w:rFonts w:ascii="Palatino Linotype" w:hAnsi="Palatino Linotype"/>
          <w:sz w:val="24"/>
          <w:szCs w:val="24"/>
        </w:rPr>
        <w:t xml:space="preserve"> se determinó lo siguiente:</w:t>
      </w:r>
    </w:p>
    <w:p w:rsidR="003E2DA1" w:rsidRPr="005F53EE" w:rsidRDefault="003E2DA1" w:rsidP="003E2DA1">
      <w:pPr>
        <w:spacing w:after="0" w:line="240" w:lineRule="auto"/>
        <w:ind w:left="851" w:right="851"/>
        <w:jc w:val="both"/>
        <w:rPr>
          <w:rFonts w:ascii="Palatino Linotype" w:hAnsi="Palatino Linotype" w:cs="Arial"/>
          <w:i/>
          <w:lang w:eastAsia="es-MX"/>
        </w:rPr>
      </w:pPr>
    </w:p>
    <w:p w:rsidR="001A6505" w:rsidRPr="005F53EE" w:rsidRDefault="009D6C87" w:rsidP="001A6505">
      <w:pPr>
        <w:spacing w:after="120" w:line="240" w:lineRule="auto"/>
        <w:ind w:left="851" w:right="992"/>
        <w:jc w:val="both"/>
        <w:rPr>
          <w:rFonts w:ascii="Palatino Linotype" w:hAnsi="Palatino Linotype"/>
          <w:i/>
        </w:rPr>
      </w:pPr>
      <w:r w:rsidRPr="005F53EE">
        <w:rPr>
          <w:rFonts w:ascii="Palatino Linotype" w:hAnsi="Palatino Linotype"/>
          <w:b/>
          <w:i/>
        </w:rPr>
        <w:t>“</w:t>
      </w:r>
      <w:r w:rsidR="00C9510C" w:rsidRPr="005F53EE">
        <w:rPr>
          <w:rFonts w:ascii="Palatino Linotype" w:hAnsi="Palatino Linotype"/>
          <w:b/>
          <w:i/>
        </w:rPr>
        <w:t xml:space="preserve">SEGUNDO. </w:t>
      </w:r>
      <w:r w:rsidR="001A6505" w:rsidRPr="005F53EE">
        <w:rPr>
          <w:rFonts w:ascii="Palatino Linotype" w:hAnsi="Palatino Linotype"/>
          <w:i/>
        </w:rPr>
        <w:t xml:space="preserve">Se </w:t>
      </w:r>
      <w:r w:rsidR="001A6505" w:rsidRPr="005F53EE">
        <w:rPr>
          <w:rFonts w:ascii="Palatino Linotype" w:hAnsi="Palatino Linotype"/>
          <w:b/>
          <w:i/>
        </w:rPr>
        <w:t>MODIFICA</w:t>
      </w:r>
      <w:r w:rsidR="001A6505" w:rsidRPr="005F53EE">
        <w:rPr>
          <w:rFonts w:ascii="Palatino Linotype" w:hAnsi="Palatino Linotype"/>
          <w:i/>
        </w:rPr>
        <w:t xml:space="preserve"> la respuesta del </w:t>
      </w:r>
      <w:r w:rsidR="001A6505" w:rsidRPr="005F53EE">
        <w:rPr>
          <w:rFonts w:ascii="Palatino Linotype" w:hAnsi="Palatino Linotype"/>
          <w:b/>
          <w:i/>
        </w:rPr>
        <w:t>SUJETO OBLIGAD</w:t>
      </w:r>
      <w:r w:rsidR="001A6505" w:rsidRPr="005F53EE">
        <w:rPr>
          <w:rFonts w:ascii="Palatino Linotype" w:hAnsi="Palatino Linotype"/>
          <w:i/>
        </w:rPr>
        <w:t xml:space="preserve">O y se </w:t>
      </w:r>
      <w:r w:rsidR="001A6505" w:rsidRPr="005F53EE">
        <w:rPr>
          <w:rFonts w:ascii="Palatino Linotype" w:hAnsi="Palatino Linotype"/>
          <w:b/>
          <w:i/>
        </w:rPr>
        <w:t>ordena</w:t>
      </w:r>
      <w:r w:rsidR="001A6505" w:rsidRPr="005F53EE">
        <w:rPr>
          <w:rFonts w:ascii="Palatino Linotype" w:hAnsi="Palatino Linotype"/>
          <w:i/>
        </w:rPr>
        <w:t xml:space="preserve"> atienda la solicitud de información pública </w:t>
      </w:r>
      <w:r w:rsidR="001A6505" w:rsidRPr="005F53EE">
        <w:rPr>
          <w:rFonts w:ascii="Palatino Linotype" w:hAnsi="Palatino Linotype"/>
          <w:b/>
          <w:i/>
        </w:rPr>
        <w:t xml:space="preserve">00024/ACAMBAY/IP/2019 </w:t>
      </w:r>
      <w:r w:rsidR="001A6505" w:rsidRPr="005F53EE">
        <w:rPr>
          <w:rFonts w:ascii="Palatino Linotype" w:hAnsi="Palatino Linotype"/>
          <w:i/>
        </w:rPr>
        <w:t xml:space="preserve">y haga entrega a </w:t>
      </w:r>
      <w:r w:rsidR="001A6505" w:rsidRPr="005F53EE">
        <w:rPr>
          <w:rFonts w:ascii="Palatino Linotype" w:hAnsi="Palatino Linotype"/>
          <w:b/>
          <w:i/>
        </w:rPr>
        <w:t>LA RECURRENTE</w:t>
      </w:r>
      <w:r w:rsidR="001A6505" w:rsidRPr="005F53EE">
        <w:rPr>
          <w:rFonts w:ascii="Palatino Linotype" w:hAnsi="Palatino Linotype"/>
          <w:i/>
        </w:rPr>
        <w:t xml:space="preserve">, vía </w:t>
      </w:r>
      <w:r w:rsidR="001A6505" w:rsidRPr="005F53EE">
        <w:rPr>
          <w:rFonts w:ascii="Palatino Linotype" w:hAnsi="Palatino Linotype"/>
          <w:b/>
          <w:i/>
        </w:rPr>
        <w:t>EL SAIMEX,</w:t>
      </w:r>
      <w:r w:rsidR="001A6505" w:rsidRPr="005F53EE">
        <w:rPr>
          <w:rFonts w:ascii="Palatino Linotype" w:hAnsi="Palatino Linotype"/>
          <w:i/>
        </w:rPr>
        <w:t xml:space="preserve"> en términos del Considerando </w:t>
      </w:r>
      <w:r w:rsidR="001A6505" w:rsidRPr="005F53EE">
        <w:rPr>
          <w:rFonts w:ascii="Palatino Linotype" w:hAnsi="Palatino Linotype"/>
          <w:b/>
          <w:i/>
        </w:rPr>
        <w:t>QUINTO</w:t>
      </w:r>
      <w:r w:rsidR="001A6505" w:rsidRPr="005F53EE">
        <w:rPr>
          <w:rFonts w:ascii="Palatino Linotype" w:hAnsi="Palatino Linotype"/>
          <w:i/>
        </w:rPr>
        <w:t xml:space="preserve"> de la presente resolución, en </w:t>
      </w:r>
      <w:r w:rsidR="001A6505" w:rsidRPr="005F53EE">
        <w:rPr>
          <w:rFonts w:ascii="Palatino Linotype" w:hAnsi="Palatino Linotype"/>
          <w:b/>
          <w:i/>
        </w:rPr>
        <w:t>versión pública</w:t>
      </w:r>
      <w:r w:rsidR="001A6505" w:rsidRPr="005F53EE">
        <w:rPr>
          <w:rFonts w:ascii="Palatino Linotype" w:hAnsi="Palatino Linotype"/>
          <w:i/>
        </w:rPr>
        <w:t xml:space="preserve">, de lo siguiente: </w:t>
      </w:r>
    </w:p>
    <w:p w:rsidR="009D6C87" w:rsidRPr="005F53EE" w:rsidRDefault="001A6505" w:rsidP="001A6505">
      <w:pPr>
        <w:spacing w:after="120" w:line="240" w:lineRule="auto"/>
        <w:ind w:left="851" w:right="992"/>
        <w:jc w:val="both"/>
        <w:rPr>
          <w:rFonts w:ascii="Palatino Linotype" w:hAnsi="Palatino Linotype"/>
          <w:i/>
        </w:rPr>
      </w:pPr>
      <w:r w:rsidRPr="005F53EE">
        <w:rPr>
          <w:rFonts w:ascii="Palatino Linotype" w:hAnsi="Palatino Linotype"/>
          <w:i/>
        </w:rPr>
        <w:t>"La nómina general del Ayuntamiento de Acambay Ruiz Castañeda, de la primera quincena del mes de enero de dos mil diecinueve</w:t>
      </w:r>
      <w:r w:rsidR="00C9510C" w:rsidRPr="005F53EE">
        <w:rPr>
          <w:rFonts w:ascii="Palatino Linotype" w:hAnsi="Palatino Linotype"/>
          <w:b/>
          <w:i/>
        </w:rPr>
        <w:t>.</w:t>
      </w:r>
      <w:r w:rsidR="009D6C87" w:rsidRPr="005F53EE">
        <w:rPr>
          <w:rFonts w:ascii="Palatino Linotype" w:hAnsi="Palatino Linotype" w:cs="Arial"/>
          <w:b/>
          <w:i/>
        </w:rPr>
        <w:t>”</w:t>
      </w:r>
    </w:p>
    <w:p w:rsidR="003E2DA1" w:rsidRPr="005F53EE" w:rsidRDefault="006C48F1" w:rsidP="003A72DD">
      <w:pPr>
        <w:spacing w:before="240" w:after="0" w:line="360" w:lineRule="auto"/>
        <w:jc w:val="both"/>
        <w:rPr>
          <w:rFonts w:ascii="Palatino Linotype" w:hAnsi="Palatino Linotype" w:cs="Arial"/>
          <w:sz w:val="24"/>
          <w:szCs w:val="24"/>
        </w:rPr>
      </w:pPr>
      <w:r w:rsidRPr="005F53EE">
        <w:rPr>
          <w:rFonts w:ascii="Palatino Linotype" w:hAnsi="Palatino Linotype" w:cs="Arial"/>
          <w:sz w:val="24"/>
          <w:szCs w:val="24"/>
        </w:rPr>
        <w:t xml:space="preserve">Al respecto, </w:t>
      </w:r>
      <w:r w:rsidR="003E2DA1" w:rsidRPr="005F53EE">
        <w:rPr>
          <w:rFonts w:ascii="Palatino Linotype" w:hAnsi="Palatino Linotype" w:cs="Arial"/>
          <w:sz w:val="24"/>
          <w:szCs w:val="24"/>
        </w:rPr>
        <w:t>no coincid</w:t>
      </w:r>
      <w:r w:rsidR="009D6C87" w:rsidRPr="005F53EE">
        <w:rPr>
          <w:rFonts w:ascii="Palatino Linotype" w:hAnsi="Palatino Linotype" w:cs="Arial"/>
          <w:sz w:val="24"/>
          <w:szCs w:val="24"/>
        </w:rPr>
        <w:t>o con</w:t>
      </w:r>
      <w:r w:rsidRPr="005F53EE">
        <w:rPr>
          <w:rFonts w:ascii="Palatino Linotype" w:hAnsi="Palatino Linotype" w:cs="Arial"/>
          <w:sz w:val="24"/>
          <w:szCs w:val="24"/>
        </w:rPr>
        <w:t xml:space="preserve"> la forma en que se entregará</w:t>
      </w:r>
      <w:r w:rsidR="003E2DA1" w:rsidRPr="005F53EE">
        <w:rPr>
          <w:rFonts w:ascii="Palatino Linotype" w:hAnsi="Palatino Linotype" w:cs="Arial"/>
          <w:sz w:val="24"/>
          <w:szCs w:val="24"/>
        </w:rPr>
        <w:t xml:space="preserve"> la información de los servidores públicos que conforman el cuerpo de seguridad pública del Ayuntamiento de </w:t>
      </w:r>
      <w:r w:rsidR="00A57F4A" w:rsidRPr="005F53EE">
        <w:rPr>
          <w:rFonts w:ascii="Palatino Linotype" w:hAnsi="Palatino Linotype" w:cs="Arial"/>
          <w:sz w:val="24"/>
          <w:szCs w:val="24"/>
        </w:rPr>
        <w:t>Acambay de Ruiz Castañeda</w:t>
      </w:r>
      <w:r w:rsidR="003A72DD" w:rsidRPr="005F53EE">
        <w:rPr>
          <w:rFonts w:ascii="Palatino Linotype" w:hAnsi="Palatino Linotype" w:cs="Arial"/>
          <w:sz w:val="24"/>
          <w:szCs w:val="24"/>
        </w:rPr>
        <w:t>.</w:t>
      </w:r>
    </w:p>
    <w:p w:rsidR="003E2DA1" w:rsidRPr="005F53EE" w:rsidRDefault="003E2DA1" w:rsidP="00A229D2">
      <w:pPr>
        <w:shd w:val="clear" w:color="auto" w:fill="FFFFFF"/>
        <w:spacing w:before="240" w:after="240" w:line="360" w:lineRule="auto"/>
        <w:jc w:val="both"/>
        <w:rPr>
          <w:rFonts w:ascii="Palatino Linotype" w:hAnsi="Palatino Linotype"/>
          <w:sz w:val="24"/>
          <w:szCs w:val="24"/>
          <w:lang w:eastAsia="es-MX"/>
        </w:rPr>
      </w:pPr>
      <w:r w:rsidRPr="005F53EE">
        <w:rPr>
          <w:rFonts w:ascii="Palatino Linotype" w:hAnsi="Palatino Linotype" w:cs="Arial"/>
          <w:sz w:val="24"/>
          <w:szCs w:val="24"/>
        </w:rPr>
        <w:t>Al respecto</w:t>
      </w:r>
      <w:r w:rsidR="00F75CC4" w:rsidRPr="005F53EE">
        <w:rPr>
          <w:rFonts w:ascii="Palatino Linotype" w:hAnsi="Palatino Linotype" w:cs="Arial"/>
          <w:sz w:val="24"/>
          <w:szCs w:val="24"/>
        </w:rPr>
        <w:t>,</w:t>
      </w:r>
      <w:r w:rsidRPr="005F53EE">
        <w:rPr>
          <w:rFonts w:ascii="Palatino Linotype" w:hAnsi="Palatino Linotype" w:cs="Arial"/>
          <w:sz w:val="24"/>
          <w:szCs w:val="24"/>
        </w:rPr>
        <w:t xml:space="preserve"> debe precisare que</w:t>
      </w:r>
      <w:r w:rsidRPr="005F53EE">
        <w:rPr>
          <w:rFonts w:ascii="Palatino Linotype" w:hAnsi="Palatino Linotype" w:cs="Arial"/>
          <w:sz w:val="24"/>
          <w:szCs w:val="24"/>
          <w:lang w:val="es-ES_tradnl"/>
        </w:rPr>
        <w:t xml:space="preserve"> </w:t>
      </w:r>
      <w:r w:rsidRPr="005F53EE">
        <w:rPr>
          <w:rFonts w:ascii="Palatino Linotype" w:hAnsi="Palatino Linotype"/>
          <w:sz w:val="24"/>
          <w:szCs w:val="24"/>
          <w:lang w:eastAsia="es-MX"/>
        </w:rPr>
        <w:t xml:space="preserve">los artículos 52 de la Ley de Transparencia y Acceso a la Información Pública del Estado de México en relación directa con el 21 y 39 de la Ley de Protección de Datos Personales en Posesión de Sujetos Obligados del Estado de México, permiten someter la información a un proceso de disociación, de tal modo que no se haga identificable al titular de los datos personales, o bien que se apliquen las medidas técnicas y administrativas apropiadas tales como la anonimización, seudonimización o el cifrado de datos personales, tendientes a evitar la asociación de </w:t>
      </w:r>
      <w:r w:rsidRPr="005F53EE">
        <w:rPr>
          <w:rFonts w:ascii="Palatino Linotype" w:hAnsi="Palatino Linotype"/>
          <w:sz w:val="24"/>
          <w:szCs w:val="24"/>
          <w:lang w:eastAsia="es-MX"/>
        </w:rPr>
        <w:lastRenderedPageBreak/>
        <w:t>los datos personales con su titular, sobre este punto en particular, a consideración del</w:t>
      </w:r>
      <w:r w:rsidR="009C5883" w:rsidRPr="005F53EE">
        <w:rPr>
          <w:rFonts w:ascii="Palatino Linotype" w:hAnsi="Palatino Linotype"/>
          <w:sz w:val="24"/>
          <w:szCs w:val="24"/>
          <w:lang w:eastAsia="es-MX"/>
        </w:rPr>
        <w:t xml:space="preserve"> suscrito</w:t>
      </w:r>
      <w:r w:rsidRPr="005F53EE">
        <w:rPr>
          <w:rFonts w:ascii="Palatino Linotype" w:hAnsi="Palatino Linotype"/>
          <w:sz w:val="24"/>
          <w:szCs w:val="24"/>
          <w:lang w:eastAsia="es-MX"/>
        </w:rPr>
        <w:t xml:space="preserve"> debió ordenarse que se entregara la información aplicando la anonimización contemplada en el artículo 4 fracción II de la Ley de Protección de Datos Personales vigente en la </w:t>
      </w:r>
      <w:r w:rsidR="007E7E8E" w:rsidRPr="005F53EE">
        <w:rPr>
          <w:rFonts w:ascii="Palatino Linotype" w:hAnsi="Palatino Linotype"/>
          <w:sz w:val="24"/>
          <w:szCs w:val="24"/>
          <w:lang w:eastAsia="es-MX"/>
        </w:rPr>
        <w:t>E</w:t>
      </w:r>
      <w:r w:rsidRPr="005F53EE">
        <w:rPr>
          <w:rFonts w:ascii="Palatino Linotype" w:hAnsi="Palatino Linotype"/>
          <w:sz w:val="24"/>
          <w:szCs w:val="24"/>
          <w:lang w:eastAsia="es-MX"/>
        </w:rPr>
        <w:t xml:space="preserve">ntidad. </w:t>
      </w:r>
    </w:p>
    <w:p w:rsidR="003E2DA1" w:rsidRPr="005F53EE" w:rsidRDefault="003E2DA1" w:rsidP="003E2DA1">
      <w:pPr>
        <w:shd w:val="clear" w:color="auto" w:fill="FFFFFF"/>
        <w:spacing w:after="240" w:line="360" w:lineRule="auto"/>
        <w:jc w:val="both"/>
        <w:rPr>
          <w:rFonts w:ascii="Palatino Linotype" w:hAnsi="Palatino Linotype"/>
          <w:sz w:val="24"/>
          <w:szCs w:val="24"/>
          <w:lang w:eastAsia="es-MX"/>
        </w:rPr>
      </w:pPr>
      <w:r w:rsidRPr="005F53EE">
        <w:rPr>
          <w:rFonts w:ascii="Palatino Linotype" w:hAnsi="Palatino Linotype"/>
          <w:sz w:val="24"/>
          <w:szCs w:val="24"/>
          <w:lang w:eastAsia="es-MX"/>
        </w:rPr>
        <w:t>Al respecto, es preciso mencionar que la anonimización es el proceso que permite eliminar todos los vínculos entre un conjunto de datos y el interesado, a fin de evitar la identificación de la o el titular a través de sus datos personales.</w:t>
      </w:r>
    </w:p>
    <w:p w:rsidR="003E2DA1" w:rsidRPr="005F53EE" w:rsidRDefault="003E2DA1" w:rsidP="003E2DA1">
      <w:pPr>
        <w:shd w:val="clear" w:color="auto" w:fill="FFFFFF"/>
        <w:spacing w:before="240" w:after="240" w:line="360" w:lineRule="auto"/>
        <w:jc w:val="both"/>
        <w:rPr>
          <w:sz w:val="24"/>
          <w:szCs w:val="24"/>
          <w:lang w:eastAsia="es-MX"/>
        </w:rPr>
      </w:pPr>
      <w:r w:rsidRPr="005F53EE">
        <w:rPr>
          <w:rFonts w:ascii="Palatino Linotype" w:hAnsi="Palatino Linotype"/>
          <w:sz w:val="24"/>
          <w:szCs w:val="24"/>
          <w:lang w:eastAsia="es-MX"/>
        </w:rPr>
        <w:t>Lo anterior con la finalidad de evitar la identificación de personas al amparo de la protección a la vida, toda vez que los miembros de las instituciones policiales se encuentran en un régimen de excepción respecto de las condiciones que presentan los servidores públicos administrativos, esto obedece a que el solo ejercicio de las funciones que tienen encomendadas lleva implícito el riesgo a su integridad, toda vez que son responsables de procurar el orden, la estabilidad y la defensa de la sociedad a la que pertenecen.</w:t>
      </w:r>
    </w:p>
    <w:p w:rsidR="003E2DA1" w:rsidRPr="005F53EE" w:rsidRDefault="003E2DA1" w:rsidP="003E2DA1">
      <w:pPr>
        <w:shd w:val="clear" w:color="auto" w:fill="FFFFFF"/>
        <w:spacing w:before="240" w:after="240" w:line="360" w:lineRule="auto"/>
        <w:jc w:val="both"/>
        <w:rPr>
          <w:sz w:val="24"/>
          <w:szCs w:val="24"/>
          <w:lang w:eastAsia="es-MX"/>
        </w:rPr>
      </w:pPr>
      <w:r w:rsidRPr="005F53EE">
        <w:rPr>
          <w:rFonts w:ascii="Palatino Linotype" w:hAnsi="Palatino Linotype"/>
          <w:sz w:val="24"/>
          <w:szCs w:val="24"/>
          <w:lang w:eastAsia="es-MX"/>
        </w:rPr>
        <w:t>De ahí, que el Estado deba garantizar y respetar sus derechos humanos como servidores públicos y como personas sujetas de derechos y obligaciones, como lo es la protección a sus datos personales, incluido su nombre que si bien pudiera tenerse como público ante la inminente evidencia de que recibe recursos públicos por concepto de sueldo, también lo es, que al pertenecer a una institución policial la difusión del mismo, pone en riesgo su vida, integridad o seguridad.</w:t>
      </w:r>
    </w:p>
    <w:p w:rsidR="003E2DA1" w:rsidRPr="005F53EE" w:rsidRDefault="003E2DA1" w:rsidP="003E2DA1">
      <w:pPr>
        <w:spacing w:before="240" w:after="0" w:line="360" w:lineRule="auto"/>
        <w:jc w:val="both"/>
        <w:rPr>
          <w:rFonts w:ascii="Palatino Linotype" w:eastAsia="MS Mincho" w:hAnsi="Palatino Linotype" w:cs="Arial"/>
          <w:sz w:val="24"/>
          <w:szCs w:val="24"/>
          <w:lang w:val="es-ES"/>
        </w:rPr>
      </w:pPr>
      <w:r w:rsidRPr="005F53EE">
        <w:rPr>
          <w:rFonts w:ascii="Palatino Linotype" w:hAnsi="Palatino Linotype" w:cs="Arial"/>
          <w:sz w:val="24"/>
          <w:szCs w:val="24"/>
        </w:rPr>
        <w:lastRenderedPageBreak/>
        <w:t xml:space="preserve">Se afirma lo anterior, en virtud de que no debe perderse de vista que </w:t>
      </w:r>
      <w:r w:rsidRPr="005F53EE">
        <w:rPr>
          <w:rFonts w:ascii="Palatino Linotype" w:eastAsia="MS Mincho" w:hAnsi="Palatino Linotype" w:cs="Arial"/>
          <w:sz w:val="24"/>
          <w:szCs w:val="24"/>
          <w:lang w:val="es-ES"/>
        </w:rPr>
        <w:t xml:space="preserve">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w:t>
      </w:r>
      <w:r w:rsidR="007E7E8E" w:rsidRPr="005F53EE">
        <w:rPr>
          <w:rFonts w:ascii="Palatino Linotype" w:eastAsia="MS Mincho" w:hAnsi="Palatino Linotype" w:cs="Arial"/>
          <w:sz w:val="24"/>
          <w:szCs w:val="24"/>
          <w:lang w:val="es-ES"/>
        </w:rPr>
        <w:t>artículo 113, fracción I de la L</w:t>
      </w:r>
      <w:r w:rsidRPr="005F53EE">
        <w:rPr>
          <w:rFonts w:ascii="Palatino Linotype" w:eastAsia="MS Mincho" w:hAnsi="Palatino Linotype" w:cs="Arial"/>
          <w:sz w:val="24"/>
          <w:szCs w:val="24"/>
          <w:lang w:val="es-ES"/>
        </w:rPr>
        <w:t xml:space="preserve">ey General de Transparencia </w:t>
      </w:r>
      <w:r w:rsidR="007E7E8E" w:rsidRPr="005F53EE">
        <w:rPr>
          <w:rFonts w:ascii="Palatino Linotype" w:eastAsia="MS Mincho" w:hAnsi="Palatino Linotype" w:cs="Arial"/>
          <w:sz w:val="24"/>
          <w:szCs w:val="24"/>
          <w:lang w:val="es-ES"/>
        </w:rPr>
        <w:t>y Acceso a la Información Pública,</w:t>
      </w:r>
      <w:r w:rsidRPr="005F53EE">
        <w:rPr>
          <w:rFonts w:ascii="Palatino Linotype" w:eastAsia="MS Mincho" w:hAnsi="Palatino Linotype" w:cs="Arial"/>
          <w:sz w:val="24"/>
          <w:szCs w:val="24"/>
          <w:lang w:val="es-ES"/>
        </w:rPr>
        <w:t xml:space="preserve">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el omitir proporcionar los nombres de los servidores públicos que prestan sus servicios en áreas de seguridad nacional o pública, puede llegar a constituirse en un componente fundamental en el esfuerzo que realiza el Estado Mexicano para garantizar la seguridad del país en sus diferentes vertientes, toda vez que </w:t>
      </w:r>
      <w:r w:rsidR="007E7E8E" w:rsidRPr="005F53EE">
        <w:rPr>
          <w:rFonts w:ascii="Palatino Linotype" w:eastAsia="MS Mincho" w:hAnsi="Palatino Linotype" w:cs="Arial"/>
          <w:sz w:val="24"/>
          <w:szCs w:val="24"/>
          <w:lang w:val="es-ES"/>
        </w:rPr>
        <w:t>como se h</w:t>
      </w:r>
      <w:r w:rsidRPr="005F53EE">
        <w:rPr>
          <w:rFonts w:ascii="Palatino Linotype" w:eastAsia="MS Mincho" w:hAnsi="Palatino Linotype" w:cs="Arial"/>
          <w:sz w:val="24"/>
          <w:szCs w:val="24"/>
          <w:lang w:val="es-ES"/>
        </w:rPr>
        <w:t>a mencionado con antelación</w:t>
      </w:r>
      <w:r w:rsidR="00472456" w:rsidRPr="005F53EE">
        <w:rPr>
          <w:rFonts w:ascii="Palatino Linotype" w:eastAsia="MS Mincho" w:hAnsi="Palatino Linotype" w:cs="Arial"/>
          <w:sz w:val="24"/>
          <w:szCs w:val="24"/>
          <w:lang w:val="es-ES"/>
        </w:rPr>
        <w:t>,</w:t>
      </w:r>
      <w:r w:rsidRPr="005F53EE">
        <w:rPr>
          <w:rFonts w:ascii="Palatino Linotype" w:eastAsia="MS Mincho" w:hAnsi="Palatino Linotype" w:cs="Arial"/>
          <w:sz w:val="24"/>
          <w:szCs w:val="24"/>
          <w:lang w:val="es-ES"/>
        </w:rPr>
        <w:t xml:space="preserve"> al proporcionar la información solicitada por el recurrente, </w:t>
      </w:r>
      <w:r w:rsidR="007E7E8E" w:rsidRPr="005F53EE">
        <w:rPr>
          <w:rFonts w:ascii="Palatino Linotype" w:eastAsia="MS Mincho" w:hAnsi="Palatino Linotype" w:cs="Arial"/>
          <w:sz w:val="24"/>
          <w:szCs w:val="24"/>
          <w:lang w:val="es-ES"/>
        </w:rPr>
        <w:t>es posible</w:t>
      </w:r>
      <w:r w:rsidRPr="005F53EE">
        <w:rPr>
          <w:rFonts w:ascii="Palatino Linotype" w:eastAsia="MS Mincho" w:hAnsi="Palatino Linotype" w:cs="Arial"/>
          <w:sz w:val="24"/>
          <w:szCs w:val="24"/>
          <w:lang w:val="es-ES"/>
        </w:rPr>
        <w:t xml:space="preserve"> que los servidores públicos adscritos a los cuerpos policiacos sea</w:t>
      </w:r>
      <w:r w:rsidR="007E7E8E" w:rsidRPr="005F53EE">
        <w:rPr>
          <w:rFonts w:ascii="Palatino Linotype" w:eastAsia="MS Mincho" w:hAnsi="Palatino Linotype" w:cs="Arial"/>
          <w:sz w:val="24"/>
          <w:szCs w:val="24"/>
          <w:lang w:val="es-ES"/>
        </w:rPr>
        <w:t>n</w:t>
      </w:r>
      <w:r w:rsidRPr="005F53EE">
        <w:rPr>
          <w:rFonts w:ascii="Palatino Linotype" w:eastAsia="MS Mincho" w:hAnsi="Palatino Linotype" w:cs="Arial"/>
          <w:sz w:val="24"/>
          <w:szCs w:val="24"/>
          <w:lang w:val="es-ES"/>
        </w:rPr>
        <w:t xml:space="preserve"> identificados o identificables, circunstancia que </w:t>
      </w:r>
      <w:r w:rsidRPr="005F53EE">
        <w:rPr>
          <w:rFonts w:ascii="Palatino Linotype" w:eastAsia="MS Mincho" w:hAnsi="Palatino Linotype" w:cs="Arial"/>
          <w:sz w:val="24"/>
          <w:szCs w:val="24"/>
          <w:lang w:val="es-ES_tradnl"/>
        </w:rPr>
        <w:t>puede poner en riesgo la vida e integridad física de los integrantes de los cuerpos policiacos, al respecto cabe hacer mención que no debe pasar desapercibido que el artículo 81</w:t>
      </w:r>
      <w:r w:rsidR="00472456" w:rsidRPr="005F53EE">
        <w:rPr>
          <w:rFonts w:ascii="Palatino Linotype" w:eastAsia="MS Mincho" w:hAnsi="Palatino Linotype" w:cs="Arial"/>
          <w:sz w:val="24"/>
          <w:szCs w:val="24"/>
          <w:lang w:val="es-ES_tradnl"/>
        </w:rPr>
        <w:t>,</w:t>
      </w:r>
      <w:r w:rsidRPr="005F53EE">
        <w:rPr>
          <w:rFonts w:ascii="Palatino Linotype" w:eastAsia="MS Mincho" w:hAnsi="Palatino Linotype" w:cs="Arial"/>
          <w:sz w:val="24"/>
          <w:szCs w:val="24"/>
          <w:lang w:val="es-ES_tradnl"/>
        </w:rPr>
        <w:t xml:space="preserve"> fracción III</w:t>
      </w:r>
      <w:r w:rsidR="00472456" w:rsidRPr="005F53EE">
        <w:rPr>
          <w:rFonts w:ascii="Palatino Linotype" w:eastAsia="MS Mincho" w:hAnsi="Palatino Linotype" w:cs="Arial"/>
          <w:sz w:val="24"/>
          <w:szCs w:val="24"/>
          <w:lang w:val="es-ES_tradnl"/>
        </w:rPr>
        <w:t>,</w:t>
      </w:r>
      <w:r w:rsidRPr="005F53EE">
        <w:rPr>
          <w:rFonts w:ascii="Palatino Linotype" w:eastAsia="MS Mincho" w:hAnsi="Palatino Linotype" w:cs="Arial"/>
          <w:sz w:val="24"/>
          <w:szCs w:val="24"/>
          <w:lang w:val="es-ES_tradnl"/>
        </w:rPr>
        <w:t xml:space="preserve"> de la Ley de Seguridad del Estado de México, establece lo siguiente: </w:t>
      </w:r>
    </w:p>
    <w:p w:rsidR="003E2DA1" w:rsidRPr="005F53EE" w:rsidRDefault="003E2DA1" w:rsidP="003E2DA1">
      <w:pPr>
        <w:spacing w:after="0" w:line="240" w:lineRule="auto"/>
        <w:ind w:left="851" w:right="851"/>
        <w:jc w:val="both"/>
        <w:rPr>
          <w:rFonts w:ascii="Palatino Linotype" w:eastAsia="MS Mincho" w:hAnsi="Palatino Linotype" w:cs="Arial"/>
          <w:i/>
          <w:sz w:val="20"/>
          <w:szCs w:val="20"/>
          <w:lang w:val="es-ES_tradnl"/>
        </w:rPr>
      </w:pPr>
    </w:p>
    <w:p w:rsidR="003E2DA1" w:rsidRPr="005F53EE" w:rsidRDefault="003E2DA1" w:rsidP="00C9510C">
      <w:pPr>
        <w:spacing w:after="0" w:line="240" w:lineRule="auto"/>
        <w:ind w:left="851" w:right="990"/>
        <w:jc w:val="both"/>
        <w:rPr>
          <w:rFonts w:ascii="Palatino Linotype" w:eastAsia="MS Mincho" w:hAnsi="Palatino Linotype" w:cs="Arial"/>
          <w:i/>
          <w:lang w:val="es-ES_tradnl"/>
        </w:rPr>
      </w:pPr>
      <w:r w:rsidRPr="005F53EE">
        <w:rPr>
          <w:rFonts w:ascii="Palatino Linotype" w:eastAsia="MS Mincho" w:hAnsi="Palatino Linotype" w:cs="Arial"/>
          <w:i/>
          <w:lang w:val="es-ES_tradnl"/>
        </w:rPr>
        <w:lastRenderedPageBreak/>
        <w:t>“</w:t>
      </w:r>
      <w:r w:rsidRPr="005F53EE">
        <w:rPr>
          <w:rFonts w:ascii="Palatino Linotype" w:eastAsia="MS Mincho" w:hAnsi="Palatino Linotype" w:cs="Arial"/>
          <w:b/>
          <w:i/>
          <w:lang w:val="es-ES_tradnl"/>
        </w:rPr>
        <w:t>Artículo 81.-</w:t>
      </w:r>
      <w:r w:rsidRPr="005F53EE">
        <w:rPr>
          <w:rFonts w:ascii="Palatino Linotype" w:eastAsia="MS Mincho" w:hAnsi="Palatino Linotype" w:cs="Arial"/>
          <w:i/>
          <w:lang w:val="es-ES_tradnl"/>
        </w:rPr>
        <w:t xml:space="preserve"> </w:t>
      </w:r>
      <w:r w:rsidRPr="005F53EE">
        <w:rPr>
          <w:rFonts w:ascii="Palatino Linotype" w:eastAsia="MS Mincho" w:hAnsi="Palatino Linotype" w:cs="Arial"/>
          <w:b/>
          <w:i/>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5F53EE">
        <w:rPr>
          <w:rFonts w:ascii="Palatino Linotype" w:eastAsia="MS Mincho" w:hAnsi="Palatino Linotype" w:cs="Arial"/>
          <w:b/>
          <w:i/>
          <w:u w:val="single"/>
          <w:lang w:val="es-ES_tradnl"/>
        </w:rPr>
        <w:t>No obstante lo anterior, esta información se considerará reservada</w:t>
      </w:r>
      <w:r w:rsidRPr="005F53EE">
        <w:rPr>
          <w:rFonts w:ascii="Palatino Linotype" w:eastAsia="MS Mincho" w:hAnsi="Palatino Linotype" w:cs="Arial"/>
          <w:i/>
          <w:lang w:val="es-ES_tradnl"/>
        </w:rPr>
        <w:t xml:space="preserve"> en los casos siguientes:</w:t>
      </w:r>
    </w:p>
    <w:p w:rsidR="003E2DA1" w:rsidRPr="005F53EE" w:rsidRDefault="003E2DA1" w:rsidP="00C9510C">
      <w:pPr>
        <w:spacing w:after="0" w:line="240" w:lineRule="auto"/>
        <w:ind w:left="851" w:right="990"/>
        <w:jc w:val="both"/>
        <w:rPr>
          <w:rFonts w:ascii="Palatino Linotype" w:eastAsia="MS Mincho" w:hAnsi="Palatino Linotype" w:cs="Arial"/>
          <w:i/>
          <w:lang w:val="es-ES_tradnl"/>
        </w:rPr>
      </w:pPr>
      <w:r w:rsidRPr="005F53EE">
        <w:rPr>
          <w:rFonts w:ascii="Palatino Linotype" w:eastAsia="MS Mincho" w:hAnsi="Palatino Linotype" w:cs="Arial"/>
          <w:i/>
          <w:lang w:val="es-ES_tradnl"/>
        </w:rPr>
        <w:t>…</w:t>
      </w:r>
    </w:p>
    <w:p w:rsidR="003E2DA1" w:rsidRPr="005F53EE" w:rsidRDefault="003E2DA1" w:rsidP="00C9510C">
      <w:pPr>
        <w:spacing w:after="0" w:line="240" w:lineRule="auto"/>
        <w:ind w:left="851" w:right="990"/>
        <w:jc w:val="both"/>
        <w:rPr>
          <w:rFonts w:ascii="Palatino Linotype" w:eastAsia="MS Mincho" w:hAnsi="Palatino Linotype" w:cs="Arial"/>
          <w:i/>
          <w:lang w:val="es-ES_tradnl"/>
        </w:rPr>
      </w:pPr>
      <w:r w:rsidRPr="005F53EE">
        <w:rPr>
          <w:rFonts w:ascii="Palatino Linotype" w:eastAsia="MS Mincho" w:hAnsi="Palatino Linotype" w:cs="Arial"/>
          <w:b/>
          <w:i/>
          <w:lang w:val="es-ES_tradnl"/>
        </w:rPr>
        <w:t>III.</w:t>
      </w:r>
      <w:r w:rsidRPr="005F53EE">
        <w:rPr>
          <w:rFonts w:ascii="Palatino Linotype" w:eastAsia="MS Mincho" w:hAnsi="Palatino Linotype" w:cs="Arial"/>
          <w:i/>
          <w:lang w:val="es-ES_tradnl"/>
        </w:rPr>
        <w:t xml:space="preserve"> </w:t>
      </w:r>
      <w:r w:rsidRPr="005F53EE">
        <w:rPr>
          <w:rFonts w:ascii="Palatino Linotype" w:eastAsia="MS Mincho" w:hAnsi="Palatino Linotype" w:cs="Arial"/>
          <w:b/>
          <w:i/>
          <w:u w:val="single"/>
          <w:lang w:val="es-ES_tradnl"/>
        </w:rPr>
        <w:t>La relativa a servidores públicos miembros de las instituciones de seguridad pública, cuya revelación pueda poner en riesgo su vida e integridad física con motivo de sus funciones;</w:t>
      </w:r>
      <w:r w:rsidRPr="005F53EE">
        <w:rPr>
          <w:rFonts w:ascii="Palatino Linotype" w:eastAsia="MS Mincho" w:hAnsi="Palatino Linotype" w:cs="Arial"/>
          <w:i/>
          <w:lang w:val="es-ES_tradnl"/>
        </w:rPr>
        <w:t>”</w:t>
      </w:r>
    </w:p>
    <w:p w:rsidR="003E2DA1" w:rsidRPr="005F53EE" w:rsidRDefault="003E2DA1" w:rsidP="00C9510C">
      <w:pPr>
        <w:spacing w:after="0" w:line="240" w:lineRule="auto"/>
        <w:ind w:left="851" w:right="990"/>
        <w:jc w:val="both"/>
        <w:rPr>
          <w:rFonts w:ascii="Palatino Linotype" w:eastAsia="MS Mincho" w:hAnsi="Palatino Linotype" w:cs="Arial"/>
          <w:i/>
          <w:lang w:val="es-ES_tradnl"/>
        </w:rPr>
      </w:pPr>
    </w:p>
    <w:p w:rsidR="003E2DA1" w:rsidRPr="005F53EE" w:rsidRDefault="003E2DA1" w:rsidP="003E2DA1">
      <w:pPr>
        <w:spacing w:before="240" w:after="240" w:line="360" w:lineRule="auto"/>
        <w:jc w:val="both"/>
        <w:rPr>
          <w:rFonts w:ascii="Palatino Linotype" w:hAnsi="Palatino Linotype" w:cs="Arial"/>
          <w:sz w:val="24"/>
          <w:szCs w:val="24"/>
        </w:rPr>
      </w:pPr>
      <w:r w:rsidRPr="005F53EE">
        <w:rPr>
          <w:rFonts w:ascii="Palatino Linotype" w:hAnsi="Palatino Linotype" w:cs="Arial"/>
          <w:sz w:val="24"/>
          <w:szCs w:val="24"/>
        </w:rPr>
        <w:t xml:space="preserve">Argumento que se fortalece con lo estipulado en el criterio número 6-09, emitido por el Instituto Nacional de Transparencia, Acceso a la Información y Protección de Datos Personales, antes </w:t>
      </w:r>
      <w:r w:rsidRPr="005F53EE">
        <w:rPr>
          <w:rFonts w:ascii="Palatino Linotype" w:hAnsi="Palatino Linotype" w:cs="Arial"/>
          <w:sz w:val="24"/>
          <w:szCs w:val="24"/>
          <w:lang w:eastAsia="es-MX"/>
        </w:rPr>
        <w:t>(IFAI)</w:t>
      </w:r>
      <w:r w:rsidRPr="005F53EE">
        <w:rPr>
          <w:rStyle w:val="Textoennegrita"/>
          <w:rFonts w:ascii="Palatino Linotype" w:hAnsi="Palatino Linotype" w:cs="Arial"/>
          <w:sz w:val="24"/>
          <w:szCs w:val="24"/>
        </w:rPr>
        <w:t xml:space="preserve">, </w:t>
      </w:r>
      <w:r w:rsidRPr="005F53EE">
        <w:rPr>
          <w:rFonts w:ascii="Palatino Linotype" w:hAnsi="Palatino Linotype" w:cs="Arial"/>
          <w:sz w:val="24"/>
          <w:szCs w:val="24"/>
        </w:rPr>
        <w:t xml:space="preserve">el cual refiere: </w:t>
      </w:r>
    </w:p>
    <w:p w:rsidR="003E2DA1" w:rsidRPr="005F53EE" w:rsidRDefault="003E2DA1" w:rsidP="00C9510C">
      <w:pPr>
        <w:tabs>
          <w:tab w:val="left" w:pos="7938"/>
        </w:tabs>
        <w:autoSpaceDE w:val="0"/>
        <w:autoSpaceDN w:val="0"/>
        <w:adjustRightInd w:val="0"/>
        <w:spacing w:after="0" w:line="240" w:lineRule="auto"/>
        <w:ind w:left="851" w:right="990"/>
        <w:jc w:val="both"/>
        <w:rPr>
          <w:rFonts w:ascii="Palatino Linotype" w:hAnsi="Palatino Linotype" w:cs="Arial"/>
          <w:i/>
          <w:lang w:eastAsia="es-MX"/>
        </w:rPr>
      </w:pPr>
      <w:r w:rsidRPr="005F53EE">
        <w:rPr>
          <w:rFonts w:ascii="Palatino Linotype" w:hAnsi="Palatino Linotype" w:cs="Arial"/>
          <w:b/>
          <w:bCs/>
          <w:i/>
          <w:lang w:eastAsia="es-MX"/>
        </w:rPr>
        <w:t>“Criterio 6-09</w:t>
      </w:r>
    </w:p>
    <w:p w:rsidR="003E2DA1" w:rsidRPr="005F53EE" w:rsidRDefault="003E2DA1" w:rsidP="00C9510C">
      <w:pPr>
        <w:tabs>
          <w:tab w:val="left" w:pos="7938"/>
        </w:tabs>
        <w:autoSpaceDE w:val="0"/>
        <w:autoSpaceDN w:val="0"/>
        <w:adjustRightInd w:val="0"/>
        <w:spacing w:after="0" w:line="240" w:lineRule="auto"/>
        <w:ind w:left="851" w:right="990"/>
        <w:jc w:val="both"/>
        <w:rPr>
          <w:rFonts w:ascii="Palatino Linotype" w:hAnsi="Palatino Linotype" w:cs="Arial"/>
          <w:i/>
          <w:lang w:eastAsia="es-MX"/>
        </w:rPr>
      </w:pPr>
      <w:r w:rsidRPr="005F53EE">
        <w:rPr>
          <w:rFonts w:ascii="Palatino Linotype" w:hAnsi="Palatino Linotype" w:cs="Arial"/>
          <w:b/>
          <w:bCs/>
          <w:i/>
          <w:lang w:eastAsia="es-MX"/>
        </w:rPr>
        <w:t xml:space="preserve">Nombres de servidores públicos dedicados a actividades en materia de seguridad, por excepción pueden considerarse información reservada. </w:t>
      </w:r>
      <w:r w:rsidRPr="005F53EE">
        <w:rPr>
          <w:rFonts w:ascii="Palatino Linotype" w:hAnsi="Palatino Linotype" w:cs="Arial"/>
          <w:bCs/>
          <w:i/>
          <w:lang w:eastAsia="es-MX"/>
        </w:rPr>
        <w:t xml:space="preserve">De conformidad con el artículo 7, fracciones I y III de la Ley Federal de Transparencia y Acceso a la Información Pública Gubernamental </w:t>
      </w:r>
      <w:r w:rsidRPr="005F53EE">
        <w:rPr>
          <w:rFonts w:ascii="Palatino Linotype" w:hAnsi="Palatino Linotype" w:cs="Arial"/>
          <w:b/>
          <w:bCs/>
          <w:i/>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5F53EE">
        <w:rPr>
          <w:rFonts w:ascii="Palatino Linotype" w:hAnsi="Palatino Linotype" w:cs="Arial"/>
          <w:bCs/>
          <w:i/>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5F53EE">
        <w:rPr>
          <w:rFonts w:ascii="Palatino Linotype" w:hAnsi="Palatino Linotype" w:cs="Arial"/>
          <w:b/>
          <w:bCs/>
          <w:i/>
          <w:u w:val="single"/>
          <w:lang w:eastAsia="es-MX"/>
        </w:rPr>
        <w:t>el artículo 13, fracción I de la ley de referencia se establece que podrá clasificarse aquella información cuya difusión pueda comprometer la seguridad nacional y pública</w:t>
      </w:r>
      <w:r w:rsidRPr="005F53EE">
        <w:rPr>
          <w:rFonts w:ascii="Palatino Linotype" w:hAnsi="Palatino Linotype" w:cs="Arial"/>
          <w:bCs/>
          <w:i/>
          <w:lang w:eastAsia="es-MX"/>
        </w:rPr>
        <w:t xml:space="preserve">. En este orden de ideas, una de las formas en que la delincuencia puede llegar a poner en riesgo la seguridad del país es precisamente anulando, </w:t>
      </w:r>
      <w:r w:rsidRPr="005F53EE">
        <w:rPr>
          <w:rFonts w:ascii="Palatino Linotype" w:hAnsi="Palatino Linotype" w:cs="Arial"/>
          <w:bCs/>
          <w:i/>
          <w:lang w:eastAsia="es-MX"/>
        </w:rPr>
        <w:lastRenderedPageBreak/>
        <w:t xml:space="preserve">impidiendo u obstaculizando la actuación de los servidores públicos que realizan funciones de carácter operativo, mediante el conocimiento de dicha situación, </w:t>
      </w:r>
      <w:r w:rsidRPr="005F53EE">
        <w:rPr>
          <w:rFonts w:ascii="Palatino Linotype" w:hAnsi="Palatino Linotype" w:cs="Arial"/>
          <w:b/>
          <w:bCs/>
          <w:i/>
          <w:u w:val="single"/>
          <w:lang w:eastAsia="es-MX"/>
        </w:rPr>
        <w:t>por lo que la reserva de la relación de los nombres y las funciones que desempeñan los servidores públicos que prestan sus servicios en áreas de seguridad nacional o pública</w:t>
      </w:r>
      <w:r w:rsidRPr="005F53EE">
        <w:rPr>
          <w:rFonts w:ascii="Palatino Linotype" w:hAnsi="Palatino Linotype" w:cs="Arial"/>
          <w:bCs/>
          <w:i/>
          <w:lang w:eastAsia="es-MX"/>
        </w:rPr>
        <w:t>, puede llegar a constituirse en un componente fundamental en el esfuerzo que realiza el Estado Mexicano para garantizar la seguridad del país en sus diferentes vertientes</w:t>
      </w:r>
      <w:r w:rsidRPr="005F53EE">
        <w:rPr>
          <w:rFonts w:ascii="Palatino Linotype" w:hAnsi="Palatino Linotype" w:cs="Arial"/>
          <w:i/>
          <w:lang w:eastAsia="es-MX"/>
        </w:rPr>
        <w:t>” (Sic)</w:t>
      </w:r>
    </w:p>
    <w:p w:rsidR="002C5D65" w:rsidRPr="005F53EE" w:rsidRDefault="002C5D65" w:rsidP="002C5D65">
      <w:pPr>
        <w:spacing w:before="240" w:after="240" w:line="360" w:lineRule="auto"/>
        <w:jc w:val="both"/>
        <w:rPr>
          <w:rFonts w:ascii="Palatino Linotype" w:hAnsi="Palatino Linotype" w:cs="Arial"/>
          <w:sz w:val="24"/>
          <w:szCs w:val="24"/>
        </w:rPr>
      </w:pPr>
      <w:r w:rsidRPr="005F53EE">
        <w:rPr>
          <w:rFonts w:ascii="Palatino Linotype" w:hAnsi="Palatino Linotype" w:cs="Arial"/>
          <w:sz w:val="24"/>
          <w:szCs w:val="24"/>
        </w:rPr>
        <w:t>En efecto, con base en lo expuesto por el ahora Instituto Nacional de Transparencia y Acceso a la Información y Protección de Datos Personales, desde el año dos mil nueve, ya se había precisado que la manera de evitar que se haga identificables a los policías, quienes al realizar funciones operativas, en el contexto nacional en donde la violencia se ha recrudecido y el Estado Mexicano ha redoblado esfuerzos para garantizar la seguridad pública, es eliminado el nombre de estos elementos en aquellos documentos que se entreguen en atención a solicitudes de acceso a la información pública.</w:t>
      </w:r>
    </w:p>
    <w:p w:rsidR="003E2DA1" w:rsidRPr="005F53EE" w:rsidRDefault="002C5D65" w:rsidP="003E2DA1">
      <w:pPr>
        <w:spacing w:before="240" w:after="240" w:line="360" w:lineRule="auto"/>
        <w:jc w:val="both"/>
        <w:rPr>
          <w:rFonts w:ascii="Palatino Linotype" w:hAnsi="Palatino Linotype" w:cs="Segoe UI"/>
          <w:sz w:val="24"/>
          <w:szCs w:val="24"/>
        </w:rPr>
      </w:pPr>
      <w:r w:rsidRPr="005F53EE">
        <w:rPr>
          <w:rFonts w:ascii="Palatino Linotype" w:hAnsi="Palatino Linotype"/>
          <w:sz w:val="24"/>
          <w:szCs w:val="24"/>
        </w:rPr>
        <w:t>Así, d</w:t>
      </w:r>
      <w:r w:rsidR="003E2DA1" w:rsidRPr="005F53EE">
        <w:rPr>
          <w:rFonts w:ascii="Palatino Linotype" w:hAnsi="Palatino Linotype"/>
          <w:sz w:val="24"/>
          <w:szCs w:val="24"/>
        </w:rPr>
        <w:t xml:space="preserve">esde </w:t>
      </w:r>
      <w:r w:rsidR="00613BBA" w:rsidRPr="005F53EE">
        <w:rPr>
          <w:rFonts w:ascii="Palatino Linotype" w:hAnsi="Palatino Linotype"/>
          <w:sz w:val="24"/>
          <w:szCs w:val="24"/>
        </w:rPr>
        <w:t>mi</w:t>
      </w:r>
      <w:r w:rsidR="003E2DA1" w:rsidRPr="005F53EE">
        <w:rPr>
          <w:rFonts w:ascii="Palatino Linotype" w:hAnsi="Palatino Linotype"/>
          <w:sz w:val="24"/>
          <w:szCs w:val="24"/>
        </w:rPr>
        <w:t xml:space="preserve"> punto de vista, el </w:t>
      </w:r>
      <w:r w:rsidR="003E2DA1" w:rsidRPr="005F53EE">
        <w:rPr>
          <w:rFonts w:ascii="Palatino Linotype" w:hAnsi="Palatino Linotype" w:cs="Segoe UI"/>
          <w:sz w:val="24"/>
          <w:szCs w:val="24"/>
        </w:rPr>
        <w:t xml:space="preserve">derecho de acceso a la información encuentra límites en el propio texto constitucional, como lo es el derecho a la confidencialidad de los datos personales y que, en razón de ello, debe existir una armonización congruente con ese derecho fundamental y con los principios rectores de la función del Sujeto Obligado, lo cual encuentra sustento en las tesis jurisprudenciales emitidas por la Suprema corte de Justicia de la Nación, que son del literal siguiente: </w:t>
      </w:r>
    </w:p>
    <w:p w:rsidR="003E2DA1" w:rsidRPr="005F53EE" w:rsidRDefault="003E2DA1" w:rsidP="003E2DA1">
      <w:pPr>
        <w:autoSpaceDE w:val="0"/>
        <w:autoSpaceDN w:val="0"/>
        <w:adjustRightInd w:val="0"/>
        <w:spacing w:after="120" w:line="240" w:lineRule="auto"/>
        <w:ind w:left="851" w:right="992"/>
        <w:jc w:val="both"/>
        <w:rPr>
          <w:rFonts w:ascii="Palatino Linotype" w:eastAsia="Calibri" w:hAnsi="Palatino Linotype" w:cs="Arial"/>
          <w:i/>
          <w:lang w:val="es-ES"/>
        </w:rPr>
      </w:pPr>
      <w:r w:rsidRPr="005F53EE">
        <w:rPr>
          <w:rFonts w:ascii="Palatino Linotype" w:eastAsia="Calibri" w:hAnsi="Palatino Linotype" w:cs="Arial"/>
          <w:b/>
          <w:bCs/>
          <w:i/>
          <w:lang w:val="es-ES"/>
        </w:rPr>
        <w:t xml:space="preserve">“DERECHO A LA INFORMACIÓN. SU EJERCICIO SE ENCUENTRA LIMITADO TANTO POR LOS INTERESES NACIONALES Y DE LA SOCIEDAD, COMO POR LOS DERECHOS DE TERCEROS. </w:t>
      </w:r>
      <w:r w:rsidRPr="005F53EE">
        <w:rPr>
          <w:rFonts w:ascii="Palatino Linotype" w:eastAsia="Calibri" w:hAnsi="Palatino Linotype" w:cs="Arial"/>
          <w:i/>
          <w:lang w:val="es-ES"/>
        </w:rPr>
        <w:t xml:space="preserve">El derecho a </w:t>
      </w:r>
      <w:r w:rsidRPr="005F53EE">
        <w:rPr>
          <w:rFonts w:ascii="Palatino Linotype" w:eastAsia="Calibri" w:hAnsi="Palatino Linotype" w:cs="Arial"/>
          <w:i/>
          <w:lang w:val="es-ES"/>
        </w:rPr>
        <w:lastRenderedPageBreak/>
        <w:t>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3E2DA1" w:rsidRPr="005F53EE" w:rsidRDefault="003E2DA1" w:rsidP="003E2DA1">
      <w:pPr>
        <w:shd w:val="clear" w:color="auto" w:fill="FFFFFF"/>
        <w:ind w:left="851" w:right="902"/>
        <w:jc w:val="both"/>
        <w:rPr>
          <w:lang w:eastAsia="es-MX"/>
        </w:rPr>
      </w:pPr>
      <w:r w:rsidRPr="005F53EE">
        <w:rPr>
          <w:rFonts w:ascii="Palatino Linotype" w:hAnsi="Palatino Linotype"/>
          <w:b/>
          <w:bCs/>
          <w:i/>
          <w:iCs/>
          <w:lang w:eastAsia="es-MX"/>
        </w:rPr>
        <w:t xml:space="preserve"> </w:t>
      </w:r>
    </w:p>
    <w:p w:rsidR="003E2DA1" w:rsidRPr="005F53EE" w:rsidRDefault="003E2DA1" w:rsidP="003E2DA1">
      <w:pPr>
        <w:shd w:val="clear" w:color="auto" w:fill="FFFFFF"/>
        <w:ind w:left="851" w:right="902"/>
        <w:jc w:val="both"/>
        <w:rPr>
          <w:sz w:val="21"/>
          <w:szCs w:val="21"/>
          <w:lang w:eastAsia="es-MX"/>
        </w:rPr>
      </w:pPr>
      <w:r w:rsidRPr="005F53EE">
        <w:rPr>
          <w:rFonts w:ascii="Palatino Linotype" w:hAnsi="Palatino Linotype"/>
          <w:b/>
          <w:bCs/>
          <w:i/>
          <w:iCs/>
          <w:lang w:eastAsia="es-MX"/>
        </w:rPr>
        <w:t>“TRANSPARENCIA Y ACCESO A LA INFORMACIÓN PÚBLICA GUBERNAMENTAL. EL ARTÍCULO 14, FRACCIÓN I, DE LA LEY FEDERAL RELATIVA, NO VIOLA LA GARANTÍA DE ACCESO A LA INFORMACIÓN.</w:t>
      </w:r>
      <w:r w:rsidRPr="005F53EE">
        <w:rPr>
          <w:rFonts w:ascii="Palatino Linotype" w:hAnsi="Palatino Linotype"/>
          <w:i/>
          <w:iCs/>
          <w:lang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w:t>
      </w:r>
      <w:r w:rsidRPr="005F53EE">
        <w:rPr>
          <w:rFonts w:ascii="Palatino Linotype" w:hAnsi="Palatino Linotype"/>
          <w:i/>
          <w:iCs/>
          <w:lang w:eastAsia="es-MX"/>
        </w:rPr>
        <w:lastRenderedPageBreak/>
        <w:t>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5F53EE">
        <w:rPr>
          <w:rFonts w:ascii="Palatino Linotype" w:hAnsi="Palatino Linotype"/>
          <w:b/>
          <w:bCs/>
          <w:i/>
          <w:iCs/>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5F53EE">
        <w:rPr>
          <w:rFonts w:ascii="Palatino Linotype" w:hAnsi="Palatino Linotype"/>
          <w:i/>
          <w:iCs/>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2C5D65" w:rsidRPr="005F53EE" w:rsidRDefault="002C5D65" w:rsidP="003E2DA1">
      <w:pPr>
        <w:spacing w:before="240" w:after="0" w:line="360" w:lineRule="auto"/>
        <w:jc w:val="both"/>
        <w:rPr>
          <w:rFonts w:ascii="Palatino Linotype" w:hAnsi="Palatino Linotype" w:cs="Arial"/>
          <w:sz w:val="24"/>
          <w:szCs w:val="24"/>
        </w:rPr>
      </w:pPr>
      <w:r w:rsidRPr="005F53EE">
        <w:rPr>
          <w:rFonts w:ascii="Palatino Linotype" w:hAnsi="Palatino Linotype" w:cs="Arial"/>
          <w:sz w:val="24"/>
          <w:szCs w:val="24"/>
        </w:rPr>
        <w:t xml:space="preserve">Lo anterior no sucede cuando se instruye la entrega de los nombres en un listado por separado, toda vez que con esfuerzos mínimos como presentar una nueva solicitud de acceso a la información pública ante el mismo Sujeto Obligado que contenga la nómina del personal con funciones administrativas, se obtiene la información necesaria para hacer el cruce de datos y obtener por descarte el nombre del personal con funciones operativas, que justamente es lo que se pretende proteger, cuando </w:t>
      </w:r>
      <w:r w:rsidR="00613BBA" w:rsidRPr="005F53EE">
        <w:rPr>
          <w:rFonts w:ascii="Palatino Linotype" w:hAnsi="Palatino Linotype" w:cs="Arial"/>
          <w:sz w:val="24"/>
          <w:szCs w:val="24"/>
        </w:rPr>
        <w:t>e</w:t>
      </w:r>
      <w:r w:rsidRPr="005F53EE">
        <w:rPr>
          <w:rFonts w:ascii="Palatino Linotype" w:hAnsi="Palatino Linotype" w:cs="Arial"/>
          <w:sz w:val="24"/>
          <w:szCs w:val="24"/>
        </w:rPr>
        <w:t>l Comisionad</w:t>
      </w:r>
      <w:r w:rsidR="00613BBA" w:rsidRPr="005F53EE">
        <w:rPr>
          <w:rFonts w:ascii="Palatino Linotype" w:hAnsi="Palatino Linotype" w:cs="Arial"/>
          <w:sz w:val="24"/>
          <w:szCs w:val="24"/>
        </w:rPr>
        <w:t>o</w:t>
      </w:r>
      <w:r w:rsidRPr="005F53EE">
        <w:rPr>
          <w:rFonts w:ascii="Palatino Linotype" w:hAnsi="Palatino Linotype" w:cs="Arial"/>
          <w:sz w:val="24"/>
          <w:szCs w:val="24"/>
        </w:rPr>
        <w:t xml:space="preserve"> Ponente instruye la entrega de la información de manera disociada.</w:t>
      </w:r>
    </w:p>
    <w:p w:rsidR="002C5D65" w:rsidRPr="005F53EE" w:rsidRDefault="002C5D65" w:rsidP="003E2DA1">
      <w:pPr>
        <w:spacing w:before="240" w:after="0" w:line="360" w:lineRule="auto"/>
        <w:jc w:val="both"/>
        <w:rPr>
          <w:rFonts w:ascii="Palatino Linotype" w:hAnsi="Palatino Linotype" w:cs="Arial"/>
          <w:sz w:val="24"/>
          <w:szCs w:val="24"/>
        </w:rPr>
      </w:pPr>
      <w:r w:rsidRPr="005F53EE">
        <w:rPr>
          <w:rFonts w:ascii="Palatino Linotype" w:hAnsi="Palatino Linotype" w:cs="Arial"/>
          <w:sz w:val="24"/>
          <w:szCs w:val="24"/>
        </w:rPr>
        <w:t xml:space="preserve">De tal suerte, la instrucción debió ser en el sentido de determinar que los nombres de policías actualizan el supuesto de información reservada, establecido en el artículo 140, fracción IV, de la Ley de Transparencia y Acceso a la </w:t>
      </w:r>
      <w:r w:rsidR="00613BBA" w:rsidRPr="005F53EE">
        <w:rPr>
          <w:rFonts w:ascii="Palatino Linotype" w:hAnsi="Palatino Linotype" w:cs="Arial"/>
          <w:sz w:val="24"/>
          <w:szCs w:val="24"/>
        </w:rPr>
        <w:t>Información</w:t>
      </w:r>
      <w:r w:rsidRPr="005F53EE">
        <w:rPr>
          <w:rFonts w:ascii="Palatino Linotype" w:hAnsi="Palatino Linotype" w:cs="Arial"/>
          <w:sz w:val="24"/>
          <w:szCs w:val="24"/>
        </w:rPr>
        <w:t xml:space="preserve"> </w:t>
      </w:r>
      <w:r w:rsidR="00613BBA" w:rsidRPr="005F53EE">
        <w:rPr>
          <w:rFonts w:ascii="Palatino Linotype" w:hAnsi="Palatino Linotype" w:cs="Arial"/>
          <w:sz w:val="24"/>
          <w:szCs w:val="24"/>
        </w:rPr>
        <w:t>Pública</w:t>
      </w:r>
      <w:r w:rsidRPr="005F53EE">
        <w:rPr>
          <w:rFonts w:ascii="Palatino Linotype" w:hAnsi="Palatino Linotype" w:cs="Arial"/>
          <w:sz w:val="24"/>
          <w:szCs w:val="24"/>
        </w:rPr>
        <w:t xml:space="preserve"> del </w:t>
      </w:r>
      <w:r w:rsidRPr="005F53EE">
        <w:rPr>
          <w:rFonts w:ascii="Palatino Linotype" w:hAnsi="Palatino Linotype" w:cs="Arial"/>
          <w:sz w:val="24"/>
          <w:szCs w:val="24"/>
        </w:rPr>
        <w:lastRenderedPageBreak/>
        <w:t>Estado de México y Municipios, c</w:t>
      </w:r>
      <w:r w:rsidR="00613BBA" w:rsidRPr="005F53EE">
        <w:rPr>
          <w:rFonts w:ascii="Palatino Linotype" w:hAnsi="Palatino Linotype" w:cs="Arial"/>
          <w:sz w:val="24"/>
          <w:szCs w:val="24"/>
        </w:rPr>
        <w:t>on el fin de salvaguardar la vid</w:t>
      </w:r>
      <w:r w:rsidRPr="005F53EE">
        <w:rPr>
          <w:rFonts w:ascii="Palatino Linotype" w:hAnsi="Palatino Linotype" w:cs="Arial"/>
          <w:sz w:val="24"/>
          <w:szCs w:val="24"/>
        </w:rPr>
        <w:t>a, salud y seguridad de los elementos operativos de los cuerpos policiacos.</w:t>
      </w:r>
    </w:p>
    <w:p w:rsidR="003E2DA1" w:rsidRPr="005F53EE" w:rsidRDefault="002C5D65" w:rsidP="003E2DA1">
      <w:pPr>
        <w:spacing w:before="240" w:after="0" w:line="360" w:lineRule="auto"/>
        <w:jc w:val="both"/>
        <w:rPr>
          <w:rFonts w:ascii="Palatino Linotype" w:hAnsi="Palatino Linotype" w:cs="Arial"/>
          <w:sz w:val="24"/>
          <w:szCs w:val="24"/>
        </w:rPr>
      </w:pPr>
      <w:r w:rsidRPr="005F53EE">
        <w:rPr>
          <w:rFonts w:ascii="Palatino Linotype" w:hAnsi="Palatino Linotype" w:cs="Arial"/>
          <w:sz w:val="24"/>
          <w:szCs w:val="24"/>
        </w:rPr>
        <w:t xml:space="preserve"> </w:t>
      </w:r>
      <w:r w:rsidR="003E2DA1" w:rsidRPr="005F53EE">
        <w:rPr>
          <w:rFonts w:ascii="Palatino Linotype" w:hAnsi="Palatino Linotype" w:cs="Arial"/>
          <w:sz w:val="24"/>
          <w:szCs w:val="24"/>
        </w:rPr>
        <w:t>Por todo lo expuesto es que formul</w:t>
      </w:r>
      <w:r w:rsidR="00613BBA" w:rsidRPr="005F53EE">
        <w:rPr>
          <w:rFonts w:ascii="Palatino Linotype" w:hAnsi="Palatino Linotype" w:cs="Arial"/>
          <w:sz w:val="24"/>
          <w:szCs w:val="24"/>
        </w:rPr>
        <w:t>o el presente voto particular</w:t>
      </w:r>
      <w:r w:rsidR="003E2DA1" w:rsidRPr="005F53EE">
        <w:rPr>
          <w:rFonts w:ascii="Palatino Linotype" w:hAnsi="Palatino Linotype" w:cs="Arial"/>
          <w:sz w:val="24"/>
          <w:szCs w:val="24"/>
        </w:rPr>
        <w:t xml:space="preserve">, en los términos precisados. </w:t>
      </w:r>
    </w:p>
    <w:p w:rsidR="00203316" w:rsidRPr="005F53EE" w:rsidRDefault="00203316" w:rsidP="003E2DA1">
      <w:pPr>
        <w:spacing w:before="240" w:after="0" w:line="360" w:lineRule="auto"/>
        <w:jc w:val="both"/>
        <w:rPr>
          <w:rFonts w:ascii="Palatino Linotype" w:hAnsi="Palatino Linotype" w:cs="Arial"/>
          <w:sz w:val="24"/>
          <w:szCs w:val="24"/>
        </w:rPr>
      </w:pPr>
    </w:p>
    <w:tbl>
      <w:tblPr>
        <w:tblStyle w:val="Tablaconcuadrcula"/>
        <w:tblpPr w:leftFromText="141" w:rightFromText="141" w:vertAnchor="text" w:horzAnchor="margin" w:tblpY="4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8"/>
      </w:tblGrid>
      <w:tr w:rsidR="005F53EE" w:rsidRPr="005F53EE" w:rsidTr="00613BBA">
        <w:tc>
          <w:tcPr>
            <w:tcW w:w="8918" w:type="dxa"/>
          </w:tcPr>
          <w:p w:rsidR="00613BBA" w:rsidRPr="005F53EE" w:rsidRDefault="00613BBA" w:rsidP="00D43B01">
            <w:pPr>
              <w:jc w:val="center"/>
              <w:rPr>
                <w:rFonts w:ascii="Palatino Linotype" w:hAnsi="Palatino Linotype" w:cs="Arial"/>
                <w:b/>
              </w:rPr>
            </w:pPr>
            <w:r w:rsidRPr="005F53EE">
              <w:rPr>
                <w:rFonts w:ascii="Palatino Linotype" w:hAnsi="Palatino Linotype" w:cs="Arial"/>
                <w:b/>
              </w:rPr>
              <w:t>Javier Martínez Cruz</w:t>
            </w:r>
          </w:p>
          <w:p w:rsidR="00613BBA" w:rsidRPr="005F53EE" w:rsidRDefault="00613BBA" w:rsidP="00D43B01">
            <w:pPr>
              <w:jc w:val="center"/>
              <w:rPr>
                <w:rFonts w:ascii="Palatino Linotype" w:hAnsi="Palatino Linotype" w:cs="Arial"/>
                <w:b/>
              </w:rPr>
            </w:pPr>
            <w:r w:rsidRPr="005F53EE">
              <w:rPr>
                <w:rFonts w:ascii="Palatino Linotype" w:hAnsi="Palatino Linotype" w:cs="Arial"/>
              </w:rPr>
              <w:t>Comisionado</w:t>
            </w:r>
          </w:p>
          <w:p w:rsidR="00613BBA" w:rsidRPr="005F53EE" w:rsidRDefault="00613BBA" w:rsidP="00D43B01">
            <w:pPr>
              <w:jc w:val="center"/>
              <w:rPr>
                <w:rFonts w:ascii="Palatino Linotype" w:hAnsi="Palatino Linotype" w:cs="Arial"/>
              </w:rPr>
            </w:pPr>
            <w:r w:rsidRPr="005F53EE">
              <w:rPr>
                <w:rFonts w:ascii="Palatino Linotype" w:hAnsi="Palatino Linotype" w:cs="Arial"/>
              </w:rPr>
              <w:t>(Rúbrica)</w:t>
            </w:r>
          </w:p>
          <w:p w:rsidR="00613BBA" w:rsidRPr="005F53EE" w:rsidRDefault="00613BBA" w:rsidP="00D43B01">
            <w:pPr>
              <w:jc w:val="center"/>
              <w:rPr>
                <w:rFonts w:ascii="Palatino Linotype" w:hAnsi="Palatino Linotype" w:cs="Arial"/>
                <w:b/>
              </w:rPr>
            </w:pPr>
          </w:p>
          <w:p w:rsidR="00613BBA" w:rsidRPr="005F53EE" w:rsidRDefault="00613BBA" w:rsidP="00D43B01">
            <w:pPr>
              <w:jc w:val="center"/>
            </w:pPr>
          </w:p>
        </w:tc>
      </w:tr>
    </w:tbl>
    <w:p w:rsidR="00AB4071" w:rsidRPr="005F53EE" w:rsidRDefault="00AB4071" w:rsidP="00613BBA">
      <w:bookmarkStart w:id="0" w:name="_GoBack"/>
      <w:bookmarkEnd w:id="0"/>
    </w:p>
    <w:sectPr w:rsidR="00AB4071" w:rsidRPr="005F53EE"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873" w:rsidRDefault="00C64873" w:rsidP="003E2DA1">
      <w:pPr>
        <w:spacing w:after="0" w:line="240" w:lineRule="auto"/>
      </w:pPr>
      <w:r>
        <w:separator/>
      </w:r>
    </w:p>
  </w:endnote>
  <w:endnote w:type="continuationSeparator" w:id="0">
    <w:p w:rsidR="00C64873" w:rsidRDefault="00C64873" w:rsidP="003E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C9706F"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F53EE">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F53EE">
      <w:rPr>
        <w:rFonts w:ascii="Arial" w:hAnsi="Arial" w:cs="Arial"/>
        <w:b/>
        <w:bCs/>
        <w:noProof/>
        <w:sz w:val="20"/>
        <w:szCs w:val="20"/>
      </w:rPr>
      <w:t>9</w:t>
    </w:r>
    <w:r w:rsidRPr="00986599">
      <w:rPr>
        <w:rFonts w:ascii="Arial" w:hAnsi="Arial" w:cs="Arial"/>
        <w:b/>
        <w:bCs/>
        <w:sz w:val="20"/>
        <w:szCs w:val="20"/>
      </w:rPr>
      <w:fldChar w:fldCharType="end"/>
    </w:r>
  </w:p>
  <w:p w:rsidR="00D758BE" w:rsidRDefault="00C64873"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873" w:rsidRDefault="00C64873" w:rsidP="003E2DA1">
      <w:pPr>
        <w:spacing w:after="0" w:line="240" w:lineRule="auto"/>
      </w:pPr>
      <w:r>
        <w:separator/>
      </w:r>
    </w:p>
  </w:footnote>
  <w:footnote w:type="continuationSeparator" w:id="0">
    <w:p w:rsidR="00C64873" w:rsidRDefault="00C64873" w:rsidP="003E2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C9706F">
    <w:pPr>
      <w:pStyle w:val="Encabezado"/>
    </w:pPr>
    <w:r>
      <w:rPr>
        <w:noProof/>
        <w:lang w:val="es-MX" w:eastAsia="es-MX"/>
      </w:rPr>
      <mc:AlternateContent>
        <mc:Choice Requires="wps">
          <w:drawing>
            <wp:anchor distT="0" distB="0" distL="114300" distR="114300" simplePos="0" relativeHeight="251659264" behindDoc="1" locked="0" layoutInCell="0" allowOverlap="1" wp14:anchorId="680B21C1" wp14:editId="0E1AD191">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C9706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0B21C1"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C9706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C9706F"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35E66318" wp14:editId="62746B21">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C64873" w:rsidP="007263BB">
    <w:pPr>
      <w:pStyle w:val="Encabezado"/>
      <w:jc w:val="right"/>
      <w:rPr>
        <w:rFonts w:ascii="Arial" w:hAnsi="Arial" w:cs="Arial"/>
        <w:sz w:val="20"/>
        <w:szCs w:val="20"/>
      </w:rPr>
    </w:pPr>
  </w:p>
  <w:p w:rsidR="00D758BE" w:rsidRDefault="00C64873" w:rsidP="007263BB">
    <w:pPr>
      <w:pStyle w:val="Encabezado"/>
      <w:jc w:val="right"/>
      <w:rPr>
        <w:rFonts w:ascii="Arial" w:hAnsi="Arial" w:cs="Arial"/>
        <w:sz w:val="20"/>
        <w:szCs w:val="20"/>
      </w:rPr>
    </w:pPr>
  </w:p>
  <w:p w:rsidR="00706042" w:rsidRPr="00563D0F" w:rsidRDefault="00C9706F" w:rsidP="007263BB">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EE5FB0" w:rsidRPr="00563D0F" w:rsidRDefault="00C9706F"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sz w:val="20"/>
        <w:szCs w:val="20"/>
      </w:rPr>
      <w:t>0</w:t>
    </w:r>
    <w:r w:rsidR="00C9510C">
      <w:rPr>
        <w:rFonts w:ascii="Palatino Linotype" w:hAnsi="Palatino Linotype" w:cs="Arial"/>
        <w:b/>
        <w:sz w:val="20"/>
        <w:szCs w:val="20"/>
      </w:rPr>
      <w:t>0</w:t>
    </w:r>
    <w:r w:rsidR="001A6505">
      <w:rPr>
        <w:rFonts w:ascii="Palatino Linotype" w:hAnsi="Palatino Linotype" w:cs="Arial"/>
        <w:b/>
        <w:sz w:val="20"/>
        <w:szCs w:val="20"/>
      </w:rPr>
      <w:t>792</w:t>
    </w:r>
    <w:r w:rsidR="00C9510C">
      <w:rPr>
        <w:rFonts w:ascii="Palatino Linotype" w:hAnsi="Palatino Linotype" w:cs="Arial"/>
        <w:b/>
        <w:sz w:val="20"/>
        <w:szCs w:val="20"/>
      </w:rPr>
      <w:t>/INFOEM/IP/RR/2019</w:t>
    </w:r>
  </w:p>
  <w:p w:rsidR="00D758BE" w:rsidRDefault="00C64873" w:rsidP="007263BB">
    <w:pPr>
      <w:pStyle w:val="Encabezado"/>
      <w:jc w:val="right"/>
      <w:rPr>
        <w:rFonts w:ascii="Palatino Linotype" w:hAnsi="Palatino Linotype" w:cs="Arial"/>
        <w:sz w:val="20"/>
        <w:szCs w:val="20"/>
      </w:rPr>
    </w:pPr>
  </w:p>
  <w:p w:rsidR="00233AB2" w:rsidRDefault="00C64873"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24C062E"/>
    <w:multiLevelType w:val="hybridMultilevel"/>
    <w:tmpl w:val="5F16330E"/>
    <w:lvl w:ilvl="0" w:tplc="1938F59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A1"/>
    <w:rsid w:val="00014214"/>
    <w:rsid w:val="000E1B4E"/>
    <w:rsid w:val="000F4606"/>
    <w:rsid w:val="001006CB"/>
    <w:rsid w:val="001711B8"/>
    <w:rsid w:val="001A6505"/>
    <w:rsid w:val="00203316"/>
    <w:rsid w:val="002C5D65"/>
    <w:rsid w:val="003A72DD"/>
    <w:rsid w:val="003D0401"/>
    <w:rsid w:val="003E2DA1"/>
    <w:rsid w:val="0046721B"/>
    <w:rsid w:val="00472456"/>
    <w:rsid w:val="004A2211"/>
    <w:rsid w:val="005E4804"/>
    <w:rsid w:val="005F53EE"/>
    <w:rsid w:val="00613BBA"/>
    <w:rsid w:val="006C48F1"/>
    <w:rsid w:val="0077175A"/>
    <w:rsid w:val="007E7E8E"/>
    <w:rsid w:val="008447C4"/>
    <w:rsid w:val="00937D9A"/>
    <w:rsid w:val="009808C5"/>
    <w:rsid w:val="00981499"/>
    <w:rsid w:val="0099040A"/>
    <w:rsid w:val="009A1C71"/>
    <w:rsid w:val="009B624B"/>
    <w:rsid w:val="009B7E57"/>
    <w:rsid w:val="009C5883"/>
    <w:rsid w:val="009D6C87"/>
    <w:rsid w:val="00A229D2"/>
    <w:rsid w:val="00A57F4A"/>
    <w:rsid w:val="00A62176"/>
    <w:rsid w:val="00AB4071"/>
    <w:rsid w:val="00B4736F"/>
    <w:rsid w:val="00BF701C"/>
    <w:rsid w:val="00C64873"/>
    <w:rsid w:val="00C9510C"/>
    <w:rsid w:val="00C9706F"/>
    <w:rsid w:val="00CB7FF7"/>
    <w:rsid w:val="00CE5E98"/>
    <w:rsid w:val="00D54DA1"/>
    <w:rsid w:val="00E91BE3"/>
    <w:rsid w:val="00EA42CA"/>
    <w:rsid w:val="00F00333"/>
    <w:rsid w:val="00F13CA5"/>
    <w:rsid w:val="00F6770B"/>
    <w:rsid w:val="00F75C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4DCCF8-3EE7-4165-A5D9-053F0B35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DA1"/>
    <w:pPr>
      <w:spacing w:line="256" w:lineRule="auto"/>
    </w:pPr>
  </w:style>
  <w:style w:type="paragraph" w:styleId="Ttulo2">
    <w:name w:val="heading 2"/>
    <w:basedOn w:val="Normal"/>
    <w:next w:val="Normal"/>
    <w:link w:val="Ttulo2Car"/>
    <w:uiPriority w:val="9"/>
    <w:unhideWhenUsed/>
    <w:qFormat/>
    <w:rsid w:val="009D6C87"/>
    <w:pPr>
      <w:keepNext/>
      <w:keepLines/>
      <w:spacing w:before="40" w:after="0" w:line="259" w:lineRule="auto"/>
      <w:outlineLvl w:val="1"/>
    </w:pPr>
    <w:rPr>
      <w:rFonts w:ascii="Palatino Linotype" w:eastAsiaTheme="majorEastAsia" w:hAnsi="Palatino Linotype" w:cstheme="majorBidi"/>
      <w:b/>
      <w:color w:val="000000" w:themeColor="text1"/>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2DA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E2DA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E2DA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E2DA1"/>
    <w:rPr>
      <w:rFonts w:ascii="Times New Roman" w:eastAsia="Times New Roman" w:hAnsi="Times New Roman" w:cs="Times New Roman"/>
      <w:sz w:val="24"/>
      <w:szCs w:val="24"/>
      <w:lang w:val="es-ES" w:eastAsia="es-ES"/>
    </w:rPr>
  </w:style>
  <w:style w:type="paragraph" w:styleId="NormalWeb">
    <w:name w:val="Normal (Web)"/>
    <w:basedOn w:val="Normal"/>
    <w:uiPriority w:val="99"/>
    <w:rsid w:val="003E2D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3E2DA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3E2DA1"/>
    <w:rPr>
      <w:b/>
      <w:bCs/>
    </w:rPr>
  </w:style>
  <w:style w:type="paragraph" w:styleId="Textodeglobo">
    <w:name w:val="Balloon Text"/>
    <w:basedOn w:val="Normal"/>
    <w:link w:val="TextodegloboCar"/>
    <w:uiPriority w:val="99"/>
    <w:semiHidden/>
    <w:unhideWhenUsed/>
    <w:rsid w:val="000F46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4606"/>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229D2"/>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29D2"/>
    <w:rPr>
      <w:rFonts w:ascii="Times New Roman" w:eastAsia="Calibri" w:hAnsi="Times New Roman" w:cs="Times New Roman"/>
      <w:sz w:val="24"/>
      <w:szCs w:val="24"/>
      <w:lang w:val="es-ES" w:eastAsia="es-ES"/>
    </w:rPr>
  </w:style>
  <w:style w:type="character" w:customStyle="1" w:styleId="Ttulo2Car">
    <w:name w:val="Título 2 Car"/>
    <w:basedOn w:val="Fuentedeprrafopredeter"/>
    <w:link w:val="Ttulo2"/>
    <w:uiPriority w:val="9"/>
    <w:rsid w:val="009D6C87"/>
    <w:rPr>
      <w:rFonts w:ascii="Palatino Linotype" w:eastAsiaTheme="majorEastAsia" w:hAnsi="Palatino Linotype" w:cstheme="majorBidi"/>
      <w:b/>
      <w:color w:val="000000" w:themeColor="text1"/>
      <w:sz w:val="24"/>
      <w:szCs w:val="26"/>
    </w:rPr>
  </w:style>
  <w:style w:type="character" w:styleId="Hipervnculo">
    <w:name w:val="Hyperlink"/>
    <w:basedOn w:val="Fuentedeprrafopredeter"/>
    <w:uiPriority w:val="99"/>
    <w:unhideWhenUsed/>
    <w:rsid w:val="009D6C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2255</Words>
  <Characters>12408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2019-04-29T18:36:00Z</cp:lastPrinted>
  <dcterms:created xsi:type="dcterms:W3CDTF">2019-04-29T18:37:00Z</dcterms:created>
  <dcterms:modified xsi:type="dcterms:W3CDTF">2019-05-30T22:47:00Z</dcterms:modified>
</cp:coreProperties>
</file>